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19" w:lineRule="exact" w:before="80"/>
        <w:ind w:left="1836" w:right="1837" w:firstLine="0"/>
        <w:jc w:val="center"/>
        <w:rPr>
          <w:b/>
          <w:sz w:val="18"/>
        </w:rPr>
      </w:pPr>
      <w:r>
        <w:rPr>
          <w:b/>
          <w:sz w:val="18"/>
        </w:rPr>
        <w:t>MEMORANDUM</w:t>
      </w:r>
      <w:r>
        <w:rPr>
          <w:b/>
          <w:spacing w:val="-4"/>
          <w:sz w:val="18"/>
        </w:rPr>
        <w:t> </w:t>
      </w:r>
      <w:r>
        <w:rPr>
          <w:b/>
          <w:sz w:val="18"/>
        </w:rPr>
        <w:t>OF</w:t>
      </w:r>
      <w:r>
        <w:rPr>
          <w:b/>
          <w:spacing w:val="-3"/>
          <w:sz w:val="18"/>
        </w:rPr>
        <w:t> </w:t>
      </w:r>
      <w:r>
        <w:rPr>
          <w:b/>
          <w:spacing w:val="-2"/>
          <w:sz w:val="18"/>
        </w:rPr>
        <w:t>AGREEMENT</w:t>
      </w:r>
    </w:p>
    <w:p>
      <w:pPr>
        <w:spacing w:before="0"/>
        <w:ind w:left="1838" w:right="1837" w:firstLine="0"/>
        <w:jc w:val="center"/>
        <w:rPr>
          <w:b/>
          <w:sz w:val="18"/>
        </w:rPr>
      </w:pPr>
      <w:r>
        <w:rPr>
          <w:b/>
          <w:sz w:val="18"/>
        </w:rPr>
        <w:t>BETWEEN</w:t>
      </w:r>
      <w:r>
        <w:rPr>
          <w:b/>
          <w:spacing w:val="-8"/>
          <w:sz w:val="18"/>
        </w:rPr>
        <w:t> </w:t>
      </w:r>
      <w:r>
        <w:rPr>
          <w:b/>
          <w:sz w:val="18"/>
        </w:rPr>
        <w:t>THE</w:t>
      </w:r>
      <w:r>
        <w:rPr>
          <w:b/>
          <w:spacing w:val="-8"/>
          <w:sz w:val="18"/>
        </w:rPr>
        <w:t> </w:t>
      </w:r>
      <w:r>
        <w:rPr>
          <w:b/>
          <w:sz w:val="18"/>
        </w:rPr>
        <w:t>FEDERAL</w:t>
      </w:r>
      <w:r>
        <w:rPr>
          <w:b/>
          <w:spacing w:val="-8"/>
          <w:sz w:val="18"/>
        </w:rPr>
        <w:t> </w:t>
      </w:r>
      <w:r>
        <w:rPr>
          <w:b/>
          <w:sz w:val="18"/>
        </w:rPr>
        <w:t>HIGHWAY</w:t>
      </w:r>
      <w:r>
        <w:rPr>
          <w:b/>
          <w:spacing w:val="-8"/>
          <w:sz w:val="18"/>
        </w:rPr>
        <w:t> </w:t>
      </w:r>
      <w:r>
        <w:rPr>
          <w:b/>
          <w:sz w:val="18"/>
        </w:rPr>
        <w:t>ADMINISTRATION</w:t>
      </w:r>
      <w:r>
        <w:rPr>
          <w:b/>
          <w:spacing w:val="-8"/>
          <w:sz w:val="18"/>
        </w:rPr>
        <w:t> </w:t>
      </w:r>
      <w:r>
        <w:rPr>
          <w:b/>
          <w:sz w:val="18"/>
        </w:rPr>
        <w:t>AND THE INDIANA STATE HISTORIC PRESERVATION OFFICER</w:t>
      </w:r>
    </w:p>
    <w:p>
      <w:pPr>
        <w:spacing w:before="0"/>
        <w:ind w:left="1189" w:right="1188" w:firstLine="0"/>
        <w:jc w:val="center"/>
        <w:rPr>
          <w:b/>
          <w:sz w:val="18"/>
        </w:rPr>
      </w:pPr>
      <w:r>
        <w:rPr>
          <w:b/>
          <w:sz w:val="18"/>
        </w:rPr>
        <w:t>SUBMITTED</w:t>
      </w:r>
      <w:r>
        <w:rPr>
          <w:b/>
          <w:spacing w:val="-6"/>
          <w:sz w:val="18"/>
        </w:rPr>
        <w:t> </w:t>
      </w:r>
      <w:r>
        <w:rPr>
          <w:b/>
          <w:sz w:val="18"/>
        </w:rPr>
        <w:t>TO</w:t>
      </w:r>
      <w:r>
        <w:rPr>
          <w:b/>
          <w:spacing w:val="-6"/>
          <w:sz w:val="18"/>
        </w:rPr>
        <w:t> </w:t>
      </w:r>
      <w:r>
        <w:rPr>
          <w:b/>
          <w:sz w:val="18"/>
        </w:rPr>
        <w:t>THE</w:t>
      </w:r>
      <w:r>
        <w:rPr>
          <w:b/>
          <w:spacing w:val="-6"/>
          <w:sz w:val="18"/>
        </w:rPr>
        <w:t> </w:t>
      </w:r>
      <w:r>
        <w:rPr>
          <w:b/>
          <w:sz w:val="18"/>
        </w:rPr>
        <w:t>ADVISORY</w:t>
      </w:r>
      <w:r>
        <w:rPr>
          <w:b/>
          <w:spacing w:val="-5"/>
          <w:sz w:val="18"/>
        </w:rPr>
        <w:t> </w:t>
      </w:r>
      <w:r>
        <w:rPr>
          <w:b/>
          <w:sz w:val="18"/>
        </w:rPr>
        <w:t>COUNCIL</w:t>
      </w:r>
      <w:r>
        <w:rPr>
          <w:b/>
          <w:spacing w:val="-6"/>
          <w:sz w:val="18"/>
        </w:rPr>
        <w:t> </w:t>
      </w:r>
      <w:r>
        <w:rPr>
          <w:b/>
          <w:sz w:val="18"/>
        </w:rPr>
        <w:t>ON</w:t>
      </w:r>
      <w:r>
        <w:rPr>
          <w:b/>
          <w:spacing w:val="-7"/>
          <w:sz w:val="18"/>
        </w:rPr>
        <w:t> </w:t>
      </w:r>
      <w:r>
        <w:rPr>
          <w:b/>
          <w:sz w:val="18"/>
        </w:rPr>
        <w:t>HISTORIC</w:t>
      </w:r>
      <w:r>
        <w:rPr>
          <w:b/>
          <w:spacing w:val="-6"/>
          <w:sz w:val="18"/>
        </w:rPr>
        <w:t> </w:t>
      </w:r>
      <w:r>
        <w:rPr>
          <w:b/>
          <w:sz w:val="18"/>
        </w:rPr>
        <w:t>PRESERVATION PURSUANT TO 36 C.F.R. Section 800.6(b)(iv)</w:t>
      </w:r>
    </w:p>
    <w:p>
      <w:pPr>
        <w:spacing w:before="0"/>
        <w:ind w:left="1543" w:right="1542" w:firstLine="0"/>
        <w:jc w:val="center"/>
        <w:rPr>
          <w:b/>
          <w:sz w:val="18"/>
        </w:rPr>
      </w:pPr>
      <w:r>
        <w:rPr>
          <w:b/>
          <w:sz w:val="18"/>
        </w:rPr>
        <w:t>REGARDING</w:t>
      </w:r>
      <w:r>
        <w:rPr>
          <w:b/>
          <w:spacing w:val="-5"/>
          <w:sz w:val="18"/>
        </w:rPr>
        <w:t> </w:t>
      </w:r>
      <w:r>
        <w:rPr>
          <w:b/>
          <w:sz w:val="18"/>
        </w:rPr>
        <w:t>THE</w:t>
      </w:r>
      <w:r>
        <w:rPr>
          <w:b/>
          <w:spacing w:val="-5"/>
          <w:sz w:val="18"/>
        </w:rPr>
        <w:t> </w:t>
      </w:r>
      <w:r>
        <w:rPr>
          <w:b/>
          <w:sz w:val="18"/>
        </w:rPr>
        <w:t>REPLACEMENT</w:t>
      </w:r>
      <w:r>
        <w:rPr>
          <w:b/>
          <w:spacing w:val="-5"/>
          <w:sz w:val="18"/>
        </w:rPr>
        <w:t> </w:t>
      </w:r>
      <w:r>
        <w:rPr>
          <w:b/>
          <w:sz w:val="18"/>
        </w:rPr>
        <w:t>OF</w:t>
      </w:r>
      <w:r>
        <w:rPr>
          <w:b/>
          <w:spacing w:val="-5"/>
          <w:sz w:val="18"/>
        </w:rPr>
        <w:t> </w:t>
      </w:r>
      <w:r>
        <w:rPr>
          <w:b/>
          <w:sz w:val="18"/>
        </w:rPr>
        <w:t>LAKE</w:t>
      </w:r>
      <w:r>
        <w:rPr>
          <w:b/>
          <w:spacing w:val="-5"/>
          <w:sz w:val="18"/>
        </w:rPr>
        <w:t> </w:t>
      </w:r>
      <w:r>
        <w:rPr>
          <w:b/>
          <w:sz w:val="18"/>
        </w:rPr>
        <w:t>COUNTY</w:t>
      </w:r>
      <w:r>
        <w:rPr>
          <w:b/>
          <w:spacing w:val="-5"/>
          <w:sz w:val="18"/>
        </w:rPr>
        <w:t> </w:t>
      </w:r>
      <w:r>
        <w:rPr>
          <w:b/>
          <w:sz w:val="18"/>
        </w:rPr>
        <w:t>BRIDGE</w:t>
      </w:r>
      <w:r>
        <w:rPr>
          <w:b/>
          <w:spacing w:val="-5"/>
          <w:sz w:val="18"/>
        </w:rPr>
        <w:t> </w:t>
      </w:r>
      <w:r>
        <w:rPr>
          <w:b/>
          <w:sz w:val="18"/>
        </w:rPr>
        <w:t>NO.</w:t>
      </w:r>
      <w:r>
        <w:rPr>
          <w:b/>
          <w:spacing w:val="-5"/>
          <w:sz w:val="18"/>
        </w:rPr>
        <w:t> </w:t>
      </w:r>
      <w:r>
        <w:rPr>
          <w:b/>
          <w:sz w:val="18"/>
        </w:rPr>
        <w:t>2 IN LAKE, NEWTON AND JASPER COUNTIES, INDIANA</w:t>
      </w:r>
    </w:p>
    <w:p>
      <w:pPr>
        <w:pStyle w:val="BodyText"/>
        <w:rPr>
          <w:b/>
          <w:sz w:val="23"/>
        </w:rPr>
      </w:pPr>
    </w:p>
    <w:p>
      <w:pPr>
        <w:pStyle w:val="BodyText"/>
        <w:ind w:left="119" w:right="117"/>
        <w:jc w:val="both"/>
      </w:pPr>
      <w:r>
        <w:rPr>
          <w:b/>
        </w:rPr>
        <w:t>WHEREAS </w:t>
      </w:r>
      <w:r>
        <w:rPr/>
        <w:t>the Federal Highway Administration ("FHWA") proposes to provide funding to the Lake County Commissioners for the replacement of Lake County Bridge No. 2 carrying Clay Street (Range Line Road) over the Kankakee River in Lake, Newton and Jasper Counties, Indiana; and</w:t>
      </w:r>
    </w:p>
    <w:p>
      <w:pPr>
        <w:pStyle w:val="BodyText"/>
        <w:spacing w:before="1"/>
        <w:rPr>
          <w:sz w:val="23"/>
        </w:rPr>
      </w:pPr>
    </w:p>
    <w:p>
      <w:pPr>
        <w:pStyle w:val="BodyText"/>
        <w:ind w:left="119" w:right="116"/>
        <w:jc w:val="both"/>
      </w:pPr>
      <w:r>
        <w:rPr>
          <w:b/>
        </w:rPr>
        <w:t>WHEREAS </w:t>
      </w:r>
      <w:r>
        <w:rPr/>
        <w:t>the FHWA, in consultation with the Indiana State Historic Preservation Officer ("SHPO"), has defined the area of potential effects for the replacement of Lake County Bridge No. 2, as the term defined in 36 C.F.R. Section 800.16(d), to be the area within a ¼ mile radius centered around Lake County Bridge No. 2; and</w:t>
      </w:r>
    </w:p>
    <w:p>
      <w:pPr>
        <w:pStyle w:val="BodyText"/>
        <w:rPr>
          <w:sz w:val="23"/>
        </w:rPr>
      </w:pPr>
    </w:p>
    <w:p>
      <w:pPr>
        <w:pStyle w:val="BodyText"/>
        <w:ind w:left="119" w:right="116"/>
        <w:jc w:val="both"/>
      </w:pPr>
      <w:r>
        <w:rPr>
          <w:b/>
        </w:rPr>
        <w:t>WHEREAS</w:t>
      </w:r>
      <w:r>
        <w:rPr>
          <w:b/>
          <w:spacing w:val="11"/>
        </w:rPr>
        <w:t> </w:t>
      </w:r>
      <w:r>
        <w:rPr/>
        <w:t>the FHWA, in consultation with the Indiana SHPO, has found that Lake County Bridge No.</w:t>
      </w:r>
      <w:r>
        <w:rPr>
          <w:spacing w:val="40"/>
        </w:rPr>
        <w:t> </w:t>
      </w:r>
      <w:r>
        <w:rPr/>
        <w:t>2 is within the area of potential effects; and</w:t>
      </w:r>
    </w:p>
    <w:p>
      <w:pPr>
        <w:pStyle w:val="BodyText"/>
        <w:rPr>
          <w:sz w:val="23"/>
        </w:rPr>
      </w:pPr>
    </w:p>
    <w:p>
      <w:pPr>
        <w:pStyle w:val="BodyText"/>
        <w:ind w:left="119" w:right="116"/>
        <w:jc w:val="both"/>
      </w:pPr>
      <w:r>
        <w:rPr>
          <w:b/>
        </w:rPr>
        <w:t>WHEREAS </w:t>
      </w:r>
      <w:r>
        <w:rPr/>
        <w:t>the FHWA, in consultation with the Indiana SHPO, has determined, pursuant to 36 C.F.R. Section 800.4(c), that Lake County Bridge No. 2 is eligible for inclusion in the National Register of Historic Places;</w:t>
      </w:r>
    </w:p>
    <w:p>
      <w:pPr>
        <w:pStyle w:val="BodyText"/>
        <w:rPr>
          <w:sz w:val="23"/>
        </w:rPr>
      </w:pPr>
    </w:p>
    <w:p>
      <w:pPr>
        <w:pStyle w:val="BodyText"/>
        <w:spacing w:before="1"/>
        <w:ind w:left="119" w:right="117"/>
        <w:jc w:val="both"/>
      </w:pPr>
      <w:r>
        <w:rPr>
          <w:b/>
        </w:rPr>
        <w:t>WHEREAS </w:t>
      </w:r>
      <w:r>
        <w:rPr/>
        <w:t>the FHWA, in consultation with the Indiana SHPO, has determined pursuant to 36 C.F.R. Section 800.5(a) that the replacement of Lake County Bridge No. 2 will have an adverse effect on</w:t>
      </w:r>
      <w:r>
        <w:rPr>
          <w:spacing w:val="40"/>
        </w:rPr>
        <w:t> </w:t>
      </w:r>
      <w:r>
        <w:rPr/>
        <w:t>Lake County Bridge No. 2; and</w:t>
      </w:r>
    </w:p>
    <w:p>
      <w:pPr>
        <w:pStyle w:val="BodyText"/>
        <w:spacing w:before="1"/>
        <w:rPr>
          <w:sz w:val="23"/>
        </w:rPr>
      </w:pPr>
    </w:p>
    <w:p>
      <w:pPr>
        <w:pStyle w:val="BodyText"/>
        <w:ind w:left="119" w:right="114"/>
        <w:jc w:val="both"/>
      </w:pPr>
      <w:r>
        <w:rPr>
          <w:b/>
        </w:rPr>
        <w:t>WHEREAS </w:t>
      </w:r>
      <w:r>
        <w:rPr/>
        <w:t>the FHWA has consulted with the Indiana SHPO in accordance with Section 106 of the National</w:t>
      </w:r>
      <w:r>
        <w:rPr>
          <w:spacing w:val="-2"/>
        </w:rPr>
        <w:t> </w:t>
      </w:r>
      <w:r>
        <w:rPr/>
        <w:t>Historic</w:t>
      </w:r>
      <w:r>
        <w:rPr>
          <w:spacing w:val="-3"/>
        </w:rPr>
        <w:t> </w:t>
      </w:r>
      <w:r>
        <w:rPr/>
        <w:t>Preservation</w:t>
      </w:r>
      <w:r>
        <w:rPr>
          <w:spacing w:val="-3"/>
        </w:rPr>
        <w:t> </w:t>
      </w:r>
      <w:r>
        <w:rPr/>
        <w:t>Act</w:t>
      </w:r>
      <w:r>
        <w:rPr>
          <w:spacing w:val="-3"/>
        </w:rPr>
        <w:t> </w:t>
      </w:r>
      <w:r>
        <w:rPr/>
        <w:t>(16</w:t>
      </w:r>
      <w:r>
        <w:rPr>
          <w:spacing w:val="-3"/>
        </w:rPr>
        <w:t> </w:t>
      </w:r>
      <w:r>
        <w:rPr/>
        <w:t>U.S.C.</w:t>
      </w:r>
      <w:r>
        <w:rPr>
          <w:spacing w:val="-3"/>
        </w:rPr>
        <w:t> </w:t>
      </w:r>
      <w:r>
        <w:rPr/>
        <w:t>470f)</w:t>
      </w:r>
      <w:r>
        <w:rPr>
          <w:spacing w:val="-3"/>
        </w:rPr>
        <w:t> </w:t>
      </w:r>
      <w:r>
        <w:rPr/>
        <w:t>and</w:t>
      </w:r>
      <w:r>
        <w:rPr>
          <w:spacing w:val="-3"/>
        </w:rPr>
        <w:t> </w:t>
      </w:r>
      <w:r>
        <w:rPr/>
        <w:t>its</w:t>
      </w:r>
      <w:r>
        <w:rPr>
          <w:spacing w:val="-3"/>
        </w:rPr>
        <w:t> </w:t>
      </w:r>
      <w:r>
        <w:rPr/>
        <w:t>implementing</w:t>
      </w:r>
      <w:r>
        <w:rPr>
          <w:spacing w:val="-3"/>
        </w:rPr>
        <w:t> </w:t>
      </w:r>
      <w:r>
        <w:rPr/>
        <w:t>regulations</w:t>
      </w:r>
      <w:r>
        <w:rPr>
          <w:spacing w:val="-3"/>
        </w:rPr>
        <w:t> </w:t>
      </w:r>
      <w:r>
        <w:rPr/>
        <w:t>(36</w:t>
      </w:r>
      <w:r>
        <w:rPr>
          <w:spacing w:val="-3"/>
        </w:rPr>
        <w:t> </w:t>
      </w:r>
      <w:r>
        <w:rPr/>
        <w:t>C.F.R.</w:t>
      </w:r>
      <w:r>
        <w:rPr>
          <w:spacing w:val="-3"/>
        </w:rPr>
        <w:t> </w:t>
      </w:r>
      <w:r>
        <w:rPr/>
        <w:t>Section 800) to resolve the adverse effect on Lake County Bridge No. 2; and</w:t>
      </w:r>
    </w:p>
    <w:p>
      <w:pPr>
        <w:pStyle w:val="BodyText"/>
        <w:rPr>
          <w:sz w:val="23"/>
        </w:rPr>
      </w:pPr>
    </w:p>
    <w:p>
      <w:pPr>
        <w:pStyle w:val="BodyText"/>
        <w:ind w:left="119" w:right="116"/>
        <w:jc w:val="both"/>
      </w:pPr>
      <w:r>
        <w:rPr>
          <w:b/>
        </w:rPr>
        <w:t>WHEREAS </w:t>
      </w:r>
      <w:r>
        <w:rPr/>
        <w:t>the public was given an opportunity to comment on the undertaking's adverse effect in a notice published on October 2, 2009 in the </w:t>
      </w:r>
      <w:r>
        <w:rPr>
          <w:u w:val="single"/>
        </w:rPr>
        <w:t>Post Tribune</w:t>
      </w:r>
      <w:r>
        <w:rPr/>
        <w:t> and the </w:t>
      </w:r>
      <w:r>
        <w:rPr>
          <w:u w:val="single"/>
        </w:rPr>
        <w:t>Northwest Indiana Times</w:t>
      </w:r>
      <w:r>
        <w:rPr/>
        <w:t>; and</w:t>
      </w:r>
    </w:p>
    <w:p>
      <w:pPr>
        <w:pStyle w:val="BodyText"/>
        <w:spacing w:before="1"/>
        <w:rPr>
          <w:sz w:val="23"/>
        </w:rPr>
      </w:pPr>
    </w:p>
    <w:p>
      <w:pPr>
        <w:pStyle w:val="BodyText"/>
        <w:ind w:left="120" w:right="118"/>
        <w:jc w:val="both"/>
      </w:pPr>
      <w:r>
        <w:rPr>
          <w:b/>
        </w:rPr>
        <w:t>WHEREAS </w:t>
      </w:r>
      <w:r>
        <w:rPr/>
        <w:t>the FHWA has notified the Advisory Council on Historic Preservation of the adverse effect and invited the Council's participation in the project, pursuant to 36 CFR Section 800.6(a)(1), in a letter dated December 22, 2009; and</w:t>
      </w:r>
    </w:p>
    <w:p>
      <w:pPr>
        <w:pStyle w:val="BodyText"/>
        <w:rPr>
          <w:sz w:val="23"/>
        </w:rPr>
      </w:pPr>
    </w:p>
    <w:p>
      <w:pPr>
        <w:pStyle w:val="BodyText"/>
        <w:ind w:left="120" w:right="117"/>
        <w:jc w:val="both"/>
      </w:pPr>
      <w:r>
        <w:rPr>
          <w:b/>
        </w:rPr>
        <w:t>WHEREAS </w:t>
      </w:r>
      <w:r>
        <w:rPr/>
        <w:t>the Advisory Council on Historic Preservation declined to participate in consultation in a letter dated December 30, 2009; and</w:t>
      </w:r>
    </w:p>
    <w:p>
      <w:pPr>
        <w:pStyle w:val="BodyText"/>
        <w:rPr>
          <w:sz w:val="23"/>
        </w:rPr>
      </w:pPr>
    </w:p>
    <w:p>
      <w:pPr>
        <w:pStyle w:val="BodyText"/>
        <w:spacing w:before="1"/>
        <w:ind w:left="120" w:right="118"/>
        <w:jc w:val="both"/>
      </w:pPr>
      <w:r>
        <w:rPr>
          <w:b/>
        </w:rPr>
        <w:t>WHEREAS </w:t>
      </w:r>
      <w:r>
        <w:rPr/>
        <w:t>the FHWA, in consultation with the Indiana SHPO, has invited the Lake County Board of Commissioners, the Kankakee County Board and the Indiana Department of Transportation (INDOT)</w:t>
      </w:r>
      <w:r>
        <w:rPr>
          <w:spacing w:val="40"/>
        </w:rPr>
        <w:t> </w:t>
      </w:r>
      <w:r>
        <w:rPr/>
        <w:t>to participate in the consultation and to become a signatory/signatories to this memorandum of agreement; and</w:t>
      </w:r>
    </w:p>
    <w:p>
      <w:pPr>
        <w:pStyle w:val="BodyText"/>
        <w:spacing w:before="11"/>
        <w:rPr>
          <w:sz w:val="22"/>
        </w:rPr>
      </w:pPr>
    </w:p>
    <w:p>
      <w:pPr>
        <w:pStyle w:val="BodyText"/>
        <w:spacing w:before="1"/>
        <w:ind w:left="120" w:right="118"/>
        <w:jc w:val="both"/>
      </w:pPr>
      <w:r>
        <w:rPr>
          <w:b/>
        </w:rPr>
        <w:t>WHEREAS </w:t>
      </w:r>
      <w:r>
        <w:rPr/>
        <w:t>the FHWA has consulted with the Indiana SHPO in accordance with Section 106 of the National Historic Preservation Act (16 U.S.C. 470f) and its implementing regulations (36 C.F.R. Part 800) concerning the scope of work as presented in the materials and plans dated September 25,</w:t>
      </w:r>
      <w:r>
        <w:rPr>
          <w:spacing w:val="40"/>
        </w:rPr>
        <w:t> </w:t>
      </w:r>
      <w:r>
        <w:rPr/>
        <w:t>2009, and agreed to proceed with the project as proposed; and</w:t>
      </w:r>
    </w:p>
    <w:p>
      <w:pPr>
        <w:pStyle w:val="BodyText"/>
        <w:rPr>
          <w:sz w:val="23"/>
        </w:rPr>
      </w:pPr>
    </w:p>
    <w:p>
      <w:pPr>
        <w:pStyle w:val="BodyText"/>
        <w:ind w:left="120" w:right="117" w:hanging="1"/>
        <w:jc w:val="both"/>
      </w:pPr>
      <w:r>
        <w:rPr>
          <w:b/>
        </w:rPr>
        <w:t>NOW, THEREFORE</w:t>
      </w:r>
      <w:r>
        <w:rPr/>
        <w:t>, the FHWA and the Indiana SHPO agree that, upon the submission of a copy of this executed memorandum of agreement, as well as the documentation specified in</w:t>
      </w:r>
      <w:r>
        <w:rPr>
          <w:spacing w:val="-1"/>
        </w:rPr>
        <w:t> </w:t>
      </w:r>
      <w:r>
        <w:rPr/>
        <w:t>36 C.F.R. Section 800.11(e)</w:t>
      </w:r>
      <w:r>
        <w:rPr>
          <w:spacing w:val="25"/>
        </w:rPr>
        <w:t> </w:t>
      </w:r>
      <w:r>
        <w:rPr/>
        <w:t>and</w:t>
      </w:r>
      <w:r>
        <w:rPr>
          <w:spacing w:val="25"/>
        </w:rPr>
        <w:t> </w:t>
      </w:r>
      <w:r>
        <w:rPr/>
        <w:t>(f)</w:t>
      </w:r>
      <w:r>
        <w:rPr>
          <w:spacing w:val="25"/>
        </w:rPr>
        <w:t> </w:t>
      </w:r>
      <w:r>
        <w:rPr/>
        <w:t>to</w:t>
      </w:r>
      <w:r>
        <w:rPr>
          <w:spacing w:val="25"/>
        </w:rPr>
        <w:t> </w:t>
      </w:r>
      <w:r>
        <w:rPr/>
        <w:t>the</w:t>
      </w:r>
      <w:r>
        <w:rPr>
          <w:spacing w:val="25"/>
        </w:rPr>
        <w:t> </w:t>
      </w:r>
      <w:r>
        <w:rPr/>
        <w:t>Advisory</w:t>
      </w:r>
      <w:r>
        <w:rPr>
          <w:spacing w:val="24"/>
        </w:rPr>
        <w:t> </w:t>
      </w:r>
      <w:r>
        <w:rPr/>
        <w:t>Council</w:t>
      </w:r>
      <w:r>
        <w:rPr>
          <w:spacing w:val="27"/>
        </w:rPr>
        <w:t> </w:t>
      </w:r>
      <w:r>
        <w:rPr/>
        <w:t>on</w:t>
      </w:r>
      <w:r>
        <w:rPr>
          <w:spacing w:val="25"/>
        </w:rPr>
        <w:t> </w:t>
      </w:r>
      <w:r>
        <w:rPr/>
        <w:t>Historic</w:t>
      </w:r>
      <w:r>
        <w:rPr>
          <w:spacing w:val="26"/>
        </w:rPr>
        <w:t> </w:t>
      </w:r>
      <w:r>
        <w:rPr/>
        <w:t>Preservation</w:t>
      </w:r>
      <w:r>
        <w:rPr>
          <w:spacing w:val="26"/>
        </w:rPr>
        <w:t> </w:t>
      </w:r>
      <w:r>
        <w:rPr/>
        <w:t>("Council"</w:t>
      </w:r>
      <w:r>
        <w:rPr>
          <w:spacing w:val="26"/>
        </w:rPr>
        <w:t> </w:t>
      </w:r>
      <w:r>
        <w:rPr/>
        <w:t>pursuant</w:t>
      </w:r>
      <w:r>
        <w:rPr>
          <w:spacing w:val="26"/>
        </w:rPr>
        <w:t> </w:t>
      </w:r>
      <w:r>
        <w:rPr/>
        <w:t>to</w:t>
      </w:r>
      <w:r>
        <w:rPr>
          <w:spacing w:val="26"/>
        </w:rPr>
        <w:t> </w:t>
      </w:r>
      <w:r>
        <w:rPr/>
        <w:t>36</w:t>
      </w:r>
      <w:r>
        <w:rPr>
          <w:spacing w:val="26"/>
        </w:rPr>
        <w:t> </w:t>
      </w:r>
      <w:r>
        <w:rPr/>
        <w:t>C.F.R.</w:t>
      </w:r>
    </w:p>
    <w:p>
      <w:pPr>
        <w:spacing w:after="0"/>
        <w:jc w:val="both"/>
        <w:sectPr>
          <w:footerReference w:type="default" r:id="rId5"/>
          <w:type w:val="continuous"/>
          <w:pgSz w:w="12240" w:h="15840"/>
          <w:pgMar w:footer="1205" w:header="0" w:top="1360" w:bottom="1400" w:left="1320" w:right="1320"/>
          <w:pgNumType w:start="1"/>
        </w:sectPr>
      </w:pPr>
    </w:p>
    <w:p>
      <w:pPr>
        <w:pStyle w:val="BodyText"/>
        <w:spacing w:before="80"/>
        <w:ind w:left="120" w:right="117"/>
        <w:jc w:val="both"/>
      </w:pPr>
      <w:r>
        <w:rPr/>
        <w:t>Section 800.6[b][1][iv]) and upon the FHWA's approval of the replacement of Lake County Bridge No. 2, the FHWA shall ensure that the following stipulations are implemented in order to take into account the effect of the replacement of Lake County Bridge No. 2 on historic properties.</w:t>
      </w:r>
    </w:p>
    <w:p>
      <w:pPr>
        <w:pStyle w:val="BodyText"/>
        <w:rPr>
          <w:sz w:val="23"/>
        </w:rPr>
      </w:pPr>
    </w:p>
    <w:p>
      <w:pPr>
        <w:spacing w:before="0"/>
        <w:ind w:left="120" w:right="0" w:firstLine="0"/>
        <w:jc w:val="left"/>
        <w:rPr>
          <w:b/>
          <w:sz w:val="18"/>
        </w:rPr>
      </w:pPr>
      <w:r>
        <w:rPr>
          <w:b/>
          <w:spacing w:val="-2"/>
          <w:sz w:val="18"/>
          <w:u w:val="single"/>
        </w:rPr>
        <w:t>Stipulations</w:t>
      </w:r>
    </w:p>
    <w:p>
      <w:pPr>
        <w:pStyle w:val="BodyText"/>
        <w:spacing w:before="10"/>
        <w:rPr>
          <w:b/>
          <w:sz w:val="9"/>
        </w:rPr>
      </w:pPr>
    </w:p>
    <w:p>
      <w:pPr>
        <w:pStyle w:val="ListParagraph"/>
        <w:numPr>
          <w:ilvl w:val="0"/>
          <w:numId w:val="1"/>
        </w:numPr>
        <w:tabs>
          <w:tab w:pos="840" w:val="left" w:leader="none"/>
        </w:tabs>
        <w:spacing w:line="240" w:lineRule="auto" w:before="100" w:after="0"/>
        <w:ind w:left="840" w:right="117" w:hanging="502"/>
        <w:jc w:val="left"/>
        <w:rPr>
          <w:sz w:val="18"/>
        </w:rPr>
      </w:pPr>
      <w:r>
        <w:rPr>
          <w:sz w:val="18"/>
        </w:rPr>
        <w:t>Mitigation</w:t>
      </w:r>
      <w:r>
        <w:rPr>
          <w:spacing w:val="40"/>
          <w:sz w:val="18"/>
        </w:rPr>
        <w:t> </w:t>
      </w:r>
      <w:r>
        <w:rPr>
          <w:sz w:val="18"/>
        </w:rPr>
        <w:t>for</w:t>
      </w:r>
      <w:r>
        <w:rPr>
          <w:spacing w:val="40"/>
          <w:sz w:val="18"/>
        </w:rPr>
        <w:t> </w:t>
      </w:r>
      <w:r>
        <w:rPr>
          <w:sz w:val="18"/>
        </w:rPr>
        <w:t>the</w:t>
      </w:r>
      <w:r>
        <w:rPr>
          <w:spacing w:val="40"/>
          <w:sz w:val="18"/>
        </w:rPr>
        <w:t> </w:t>
      </w:r>
      <w:r>
        <w:rPr>
          <w:sz w:val="18"/>
        </w:rPr>
        <w:t>replacement</w:t>
      </w:r>
      <w:r>
        <w:rPr>
          <w:spacing w:val="40"/>
          <w:sz w:val="18"/>
        </w:rPr>
        <w:t> </w:t>
      </w:r>
      <w:r>
        <w:rPr>
          <w:sz w:val="18"/>
        </w:rPr>
        <w:t>of</w:t>
      </w:r>
      <w:r>
        <w:rPr>
          <w:spacing w:val="40"/>
          <w:sz w:val="18"/>
        </w:rPr>
        <w:t> </w:t>
      </w:r>
      <w:r>
        <w:rPr>
          <w:sz w:val="18"/>
        </w:rPr>
        <w:t>Lake</w:t>
      </w:r>
      <w:r>
        <w:rPr>
          <w:spacing w:val="40"/>
          <w:sz w:val="18"/>
        </w:rPr>
        <w:t> </w:t>
      </w:r>
      <w:r>
        <w:rPr>
          <w:sz w:val="18"/>
        </w:rPr>
        <w:t>County</w:t>
      </w:r>
      <w:r>
        <w:rPr>
          <w:spacing w:val="40"/>
          <w:sz w:val="18"/>
        </w:rPr>
        <w:t> </w:t>
      </w:r>
      <w:r>
        <w:rPr>
          <w:sz w:val="18"/>
        </w:rPr>
        <w:t>Bridge</w:t>
      </w:r>
      <w:r>
        <w:rPr>
          <w:spacing w:val="40"/>
          <w:sz w:val="18"/>
        </w:rPr>
        <w:t> </w:t>
      </w:r>
      <w:r>
        <w:rPr>
          <w:sz w:val="18"/>
        </w:rPr>
        <w:t>No.</w:t>
      </w:r>
      <w:r>
        <w:rPr>
          <w:spacing w:val="40"/>
          <w:sz w:val="18"/>
        </w:rPr>
        <w:t> </w:t>
      </w:r>
      <w:r>
        <w:rPr>
          <w:sz w:val="18"/>
        </w:rPr>
        <w:t>2</w:t>
      </w:r>
      <w:r>
        <w:rPr>
          <w:spacing w:val="40"/>
          <w:sz w:val="18"/>
        </w:rPr>
        <w:t> </w:t>
      </w:r>
      <w:r>
        <w:rPr>
          <w:sz w:val="18"/>
        </w:rPr>
        <w:t>will</w:t>
      </w:r>
      <w:r>
        <w:rPr>
          <w:spacing w:val="40"/>
          <w:sz w:val="18"/>
        </w:rPr>
        <w:t> </w:t>
      </w:r>
      <w:r>
        <w:rPr>
          <w:sz w:val="18"/>
        </w:rPr>
        <w:t>consist</w:t>
      </w:r>
      <w:r>
        <w:rPr>
          <w:spacing w:val="40"/>
          <w:sz w:val="18"/>
        </w:rPr>
        <w:t> </w:t>
      </w:r>
      <w:r>
        <w:rPr>
          <w:sz w:val="18"/>
        </w:rPr>
        <w:t>of</w:t>
      </w:r>
      <w:r>
        <w:rPr>
          <w:spacing w:val="40"/>
          <w:sz w:val="18"/>
        </w:rPr>
        <w:t> </w:t>
      </w:r>
      <w:r>
        <w:rPr>
          <w:sz w:val="18"/>
        </w:rPr>
        <w:t>the</w:t>
      </w:r>
      <w:r>
        <w:rPr>
          <w:spacing w:val="40"/>
          <w:sz w:val="18"/>
        </w:rPr>
        <w:t> </w:t>
      </w:r>
      <w:r>
        <w:rPr>
          <w:sz w:val="18"/>
        </w:rPr>
        <w:t>following </w:t>
      </w:r>
      <w:r>
        <w:rPr>
          <w:spacing w:val="-2"/>
          <w:sz w:val="18"/>
        </w:rPr>
        <w:t>measures.</w:t>
      </w:r>
    </w:p>
    <w:p>
      <w:pPr>
        <w:pStyle w:val="BodyText"/>
      </w:pPr>
    </w:p>
    <w:p>
      <w:pPr>
        <w:pStyle w:val="ListParagraph"/>
        <w:numPr>
          <w:ilvl w:val="1"/>
          <w:numId w:val="1"/>
        </w:numPr>
        <w:tabs>
          <w:tab w:pos="1558" w:val="left" w:leader="none"/>
          <w:tab w:pos="1560" w:val="left" w:leader="none"/>
        </w:tabs>
        <w:spacing w:line="240" w:lineRule="auto" w:before="0" w:after="0"/>
        <w:ind w:left="1560" w:right="117" w:hanging="549"/>
        <w:jc w:val="both"/>
        <w:rPr>
          <w:sz w:val="18"/>
        </w:rPr>
      </w:pPr>
      <w:r>
        <w:rPr>
          <w:sz w:val="18"/>
        </w:rPr>
        <w:t>The Kankakee Valley Historical Society (KVHS), which is an Indiana 501(C)(3) non- profit organization has offered to take ownership of Lake County Bridge No. 2. However, due to monetary considerations the KVHS has indicated that they will not be prepared to take ownership of the bridge for a number of years.</w:t>
      </w:r>
      <w:r>
        <w:rPr>
          <w:spacing w:val="40"/>
          <w:sz w:val="18"/>
        </w:rPr>
        <w:t> </w:t>
      </w:r>
      <w:r>
        <w:rPr>
          <w:sz w:val="18"/>
        </w:rPr>
        <w:t>Therefore, the Lake County Board of Commissioners will store Lake County Bridge No. 2 in a secure location for a minimum of 15 years, measured from the date the bridge is dismantled. This should allow the KVHS an opportunity to prepare for acquisition of the bridge.</w:t>
      </w:r>
    </w:p>
    <w:p>
      <w:pPr>
        <w:pStyle w:val="BodyText"/>
        <w:spacing w:before="12"/>
        <w:rPr>
          <w:sz w:val="17"/>
        </w:rPr>
      </w:pPr>
    </w:p>
    <w:p>
      <w:pPr>
        <w:pStyle w:val="ListParagraph"/>
        <w:numPr>
          <w:ilvl w:val="1"/>
          <w:numId w:val="1"/>
        </w:numPr>
        <w:tabs>
          <w:tab w:pos="1558" w:val="left" w:leader="none"/>
          <w:tab w:pos="1560" w:val="left" w:leader="none"/>
        </w:tabs>
        <w:spacing w:line="240" w:lineRule="auto" w:before="0" w:after="0"/>
        <w:ind w:left="1560" w:right="117" w:hanging="549"/>
        <w:jc w:val="both"/>
        <w:rPr>
          <w:sz w:val="18"/>
        </w:rPr>
      </w:pPr>
      <w:r>
        <w:rPr>
          <w:sz w:val="18"/>
        </w:rPr>
        <w:t>If Bridge No. 2 is to be dismantled, then the Lake County Board of Commissioners or the KVHS or any other, qualified recipient that is acquiring the bridge shall have the bridge’s component match-marked and mapped to facilitate its later reassembly.</w:t>
      </w:r>
    </w:p>
    <w:p>
      <w:pPr>
        <w:pStyle w:val="BodyText"/>
        <w:spacing w:before="11"/>
        <w:rPr>
          <w:sz w:val="17"/>
        </w:rPr>
      </w:pPr>
    </w:p>
    <w:p>
      <w:pPr>
        <w:pStyle w:val="ListParagraph"/>
        <w:numPr>
          <w:ilvl w:val="1"/>
          <w:numId w:val="1"/>
        </w:numPr>
        <w:tabs>
          <w:tab w:pos="1558" w:val="left" w:leader="none"/>
          <w:tab w:pos="1560" w:val="left" w:leader="none"/>
        </w:tabs>
        <w:spacing w:line="240" w:lineRule="auto" w:before="1" w:after="0"/>
        <w:ind w:left="1560" w:right="115" w:hanging="551"/>
        <w:jc w:val="both"/>
        <w:rPr>
          <w:sz w:val="18"/>
        </w:rPr>
      </w:pPr>
      <w:r>
        <w:rPr>
          <w:sz w:val="18"/>
        </w:rPr>
        <w:t>The recipient(s) of the bridge may work through a Local Public Agency (LPA) to secure Transportation Enhancement Funds for the rehabilitation of the relocated structure.</w:t>
      </w:r>
      <w:r>
        <w:rPr>
          <w:spacing w:val="40"/>
          <w:sz w:val="18"/>
        </w:rPr>
        <w:t> </w:t>
      </w:r>
      <w:r>
        <w:rPr>
          <w:sz w:val="18"/>
        </w:rPr>
        <w:t>If awarded, the recipient(s) of the bridge will enter into a third party agreement with the LPA to transfer funds.</w:t>
      </w:r>
    </w:p>
    <w:p>
      <w:pPr>
        <w:pStyle w:val="BodyText"/>
      </w:pPr>
    </w:p>
    <w:p>
      <w:pPr>
        <w:pStyle w:val="ListParagraph"/>
        <w:numPr>
          <w:ilvl w:val="1"/>
          <w:numId w:val="1"/>
        </w:numPr>
        <w:tabs>
          <w:tab w:pos="1557" w:val="left" w:leader="none"/>
          <w:tab w:pos="1559" w:val="left" w:leader="none"/>
        </w:tabs>
        <w:spacing w:line="240" w:lineRule="auto" w:before="0" w:after="0"/>
        <w:ind w:left="1559" w:right="117" w:hanging="564"/>
        <w:jc w:val="both"/>
        <w:rPr>
          <w:sz w:val="18"/>
        </w:rPr>
      </w:pPr>
      <w:r>
        <w:rPr>
          <w:sz w:val="18"/>
        </w:rPr>
        <w:t>If another public agency or non-profit organization approaches the Lake County Commissioners and offers to take the bridge the KVHS will be given the first right of </w:t>
      </w:r>
      <w:r>
        <w:rPr>
          <w:spacing w:val="-2"/>
          <w:sz w:val="18"/>
        </w:rPr>
        <w:t>refusal.</w:t>
      </w:r>
    </w:p>
    <w:p>
      <w:pPr>
        <w:pStyle w:val="BodyText"/>
      </w:pPr>
    </w:p>
    <w:p>
      <w:pPr>
        <w:pStyle w:val="ListParagraph"/>
        <w:numPr>
          <w:ilvl w:val="1"/>
          <w:numId w:val="1"/>
        </w:numPr>
        <w:tabs>
          <w:tab w:pos="1558" w:val="left" w:leader="none"/>
          <w:tab w:pos="1560" w:val="left" w:leader="none"/>
        </w:tabs>
        <w:spacing w:line="240" w:lineRule="auto" w:before="0" w:after="0"/>
        <w:ind w:left="1560" w:right="117" w:hanging="539"/>
        <w:jc w:val="both"/>
        <w:rPr>
          <w:sz w:val="18"/>
        </w:rPr>
      </w:pPr>
      <w:r>
        <w:rPr>
          <w:sz w:val="18"/>
        </w:rPr>
        <w:t>If the County, INDOT, FHWA and SHPO agree that the offer and the applicant is suitable and satisfactory to all parties, the transfer of Lake County Bridge No. 2 may </w:t>
      </w:r>
      <w:r>
        <w:rPr>
          <w:spacing w:val="-2"/>
          <w:sz w:val="18"/>
        </w:rPr>
        <w:t>proceed.</w:t>
      </w:r>
    </w:p>
    <w:p>
      <w:pPr>
        <w:pStyle w:val="BodyText"/>
        <w:spacing w:before="12"/>
        <w:rPr>
          <w:sz w:val="17"/>
        </w:rPr>
      </w:pPr>
    </w:p>
    <w:p>
      <w:pPr>
        <w:pStyle w:val="ListParagraph"/>
        <w:numPr>
          <w:ilvl w:val="1"/>
          <w:numId w:val="1"/>
        </w:numPr>
        <w:tabs>
          <w:tab w:pos="1557" w:val="left" w:leader="none"/>
          <w:tab w:pos="1560" w:val="left" w:leader="none"/>
        </w:tabs>
        <w:spacing w:line="240" w:lineRule="auto" w:before="0" w:after="0"/>
        <w:ind w:left="1560" w:right="118" w:hanging="530"/>
        <w:jc w:val="both"/>
        <w:rPr>
          <w:sz w:val="18"/>
        </w:rPr>
      </w:pPr>
      <w:r>
        <w:rPr>
          <w:sz w:val="18"/>
        </w:rPr>
        <w:t>The KVHS or other qualified recipient(s) of the structure must agree to the following terms before accepting ownership of the structure:</w:t>
      </w:r>
    </w:p>
    <w:p>
      <w:pPr>
        <w:pStyle w:val="BodyText"/>
      </w:pPr>
    </w:p>
    <w:p>
      <w:pPr>
        <w:pStyle w:val="ListParagraph"/>
        <w:numPr>
          <w:ilvl w:val="2"/>
          <w:numId w:val="1"/>
        </w:numPr>
        <w:tabs>
          <w:tab w:pos="2278" w:val="left" w:leader="none"/>
          <w:tab w:pos="2280" w:val="left" w:leader="none"/>
        </w:tabs>
        <w:spacing w:line="240" w:lineRule="auto" w:before="0" w:after="0"/>
        <w:ind w:left="2280" w:right="117" w:hanging="476"/>
        <w:jc w:val="both"/>
        <w:rPr>
          <w:sz w:val="18"/>
        </w:rPr>
      </w:pPr>
      <w:r>
        <w:rPr>
          <w:sz w:val="18"/>
        </w:rPr>
        <w:t>Accept all ownership rights and responsibilities connected now or in the future with the bridge.</w:t>
      </w:r>
    </w:p>
    <w:p>
      <w:pPr>
        <w:pStyle w:val="ListParagraph"/>
        <w:numPr>
          <w:ilvl w:val="2"/>
          <w:numId w:val="1"/>
        </w:numPr>
        <w:tabs>
          <w:tab w:pos="2277" w:val="left" w:leader="none"/>
        </w:tabs>
        <w:spacing w:line="219" w:lineRule="exact" w:before="0" w:after="0"/>
        <w:ind w:left="2277" w:right="0" w:hanging="522"/>
        <w:jc w:val="both"/>
        <w:rPr>
          <w:sz w:val="18"/>
        </w:rPr>
      </w:pPr>
      <w:r>
        <w:rPr>
          <w:sz w:val="18"/>
        </w:rPr>
        <w:t>Leave</w:t>
      </w:r>
      <w:r>
        <w:rPr>
          <w:spacing w:val="-3"/>
          <w:sz w:val="18"/>
        </w:rPr>
        <w:t> </w:t>
      </w:r>
      <w:r>
        <w:rPr>
          <w:sz w:val="18"/>
        </w:rPr>
        <w:t>the</w:t>
      </w:r>
      <w:r>
        <w:rPr>
          <w:spacing w:val="-2"/>
          <w:sz w:val="18"/>
        </w:rPr>
        <w:t> </w:t>
      </w:r>
      <w:r>
        <w:rPr>
          <w:sz w:val="18"/>
        </w:rPr>
        <w:t>bridge</w:t>
      </w:r>
      <w:r>
        <w:rPr>
          <w:spacing w:val="-2"/>
          <w:sz w:val="18"/>
        </w:rPr>
        <w:t> </w:t>
      </w:r>
      <w:r>
        <w:rPr>
          <w:sz w:val="18"/>
        </w:rPr>
        <w:t>open</w:t>
      </w:r>
      <w:r>
        <w:rPr>
          <w:spacing w:val="-2"/>
          <w:sz w:val="18"/>
        </w:rPr>
        <w:t> </w:t>
      </w:r>
      <w:r>
        <w:rPr>
          <w:sz w:val="18"/>
        </w:rPr>
        <w:t>to</w:t>
      </w:r>
      <w:r>
        <w:rPr>
          <w:spacing w:val="-2"/>
          <w:sz w:val="18"/>
        </w:rPr>
        <w:t> </w:t>
      </w:r>
      <w:r>
        <w:rPr>
          <w:sz w:val="18"/>
        </w:rPr>
        <w:t>the</w:t>
      </w:r>
      <w:r>
        <w:rPr>
          <w:spacing w:val="-2"/>
          <w:sz w:val="18"/>
        </w:rPr>
        <w:t> public.</w:t>
      </w:r>
    </w:p>
    <w:p>
      <w:pPr>
        <w:pStyle w:val="ListParagraph"/>
        <w:numPr>
          <w:ilvl w:val="2"/>
          <w:numId w:val="1"/>
        </w:numPr>
        <w:tabs>
          <w:tab w:pos="2277" w:val="left" w:leader="none"/>
          <w:tab w:pos="2280" w:val="left" w:leader="none"/>
        </w:tabs>
        <w:spacing w:line="240" w:lineRule="auto" w:before="0" w:after="0"/>
        <w:ind w:left="2280" w:right="115" w:hanging="574"/>
        <w:jc w:val="both"/>
        <w:rPr>
          <w:sz w:val="18"/>
        </w:rPr>
      </w:pPr>
      <w:r>
        <w:rPr>
          <w:sz w:val="18"/>
        </w:rPr>
        <w:t>Maintain the features that give the structure its historic significance for a minimum period of twenty-five (25) years from the date from which the recipient(s) takes title of the bridge.</w:t>
      </w:r>
    </w:p>
    <w:p>
      <w:pPr>
        <w:pStyle w:val="ListParagraph"/>
        <w:numPr>
          <w:ilvl w:val="2"/>
          <w:numId w:val="1"/>
        </w:numPr>
        <w:tabs>
          <w:tab w:pos="2279" w:val="left" w:leader="none"/>
        </w:tabs>
        <w:spacing w:line="219" w:lineRule="exact" w:before="0" w:after="0"/>
        <w:ind w:left="2279" w:right="0" w:hanging="580"/>
        <w:jc w:val="both"/>
        <w:rPr>
          <w:sz w:val="18"/>
        </w:rPr>
      </w:pPr>
      <w:r>
        <w:rPr>
          <w:sz w:val="18"/>
        </w:rPr>
        <w:t>Assume</w:t>
      </w:r>
      <w:r>
        <w:rPr>
          <w:spacing w:val="-5"/>
          <w:sz w:val="18"/>
        </w:rPr>
        <w:t> </w:t>
      </w:r>
      <w:r>
        <w:rPr>
          <w:sz w:val="18"/>
        </w:rPr>
        <w:t>future</w:t>
      </w:r>
      <w:r>
        <w:rPr>
          <w:spacing w:val="-4"/>
          <w:sz w:val="18"/>
        </w:rPr>
        <w:t> </w:t>
      </w:r>
      <w:r>
        <w:rPr>
          <w:sz w:val="18"/>
        </w:rPr>
        <w:t>legal</w:t>
      </w:r>
      <w:r>
        <w:rPr>
          <w:spacing w:val="-2"/>
          <w:sz w:val="18"/>
        </w:rPr>
        <w:t> </w:t>
      </w:r>
      <w:r>
        <w:rPr>
          <w:sz w:val="18"/>
        </w:rPr>
        <w:t>and</w:t>
      </w:r>
      <w:r>
        <w:rPr>
          <w:spacing w:val="-4"/>
          <w:sz w:val="18"/>
        </w:rPr>
        <w:t> </w:t>
      </w:r>
      <w:r>
        <w:rPr>
          <w:sz w:val="18"/>
        </w:rPr>
        <w:t>financial</w:t>
      </w:r>
      <w:r>
        <w:rPr>
          <w:spacing w:val="-3"/>
          <w:sz w:val="18"/>
        </w:rPr>
        <w:t> </w:t>
      </w:r>
      <w:r>
        <w:rPr>
          <w:sz w:val="18"/>
        </w:rPr>
        <w:t>responsibility</w:t>
      </w:r>
      <w:r>
        <w:rPr>
          <w:spacing w:val="-4"/>
          <w:sz w:val="18"/>
        </w:rPr>
        <w:t> </w:t>
      </w:r>
      <w:r>
        <w:rPr>
          <w:sz w:val="18"/>
        </w:rPr>
        <w:t>for</w:t>
      </w:r>
      <w:r>
        <w:rPr>
          <w:spacing w:val="-3"/>
          <w:sz w:val="18"/>
        </w:rPr>
        <w:t> </w:t>
      </w:r>
      <w:r>
        <w:rPr>
          <w:sz w:val="18"/>
        </w:rPr>
        <w:t>the</w:t>
      </w:r>
      <w:r>
        <w:rPr>
          <w:spacing w:val="-4"/>
          <w:sz w:val="18"/>
        </w:rPr>
        <w:t> </w:t>
      </w:r>
      <w:r>
        <w:rPr>
          <w:spacing w:val="-2"/>
          <w:sz w:val="18"/>
        </w:rPr>
        <w:t>bridge.</w:t>
      </w:r>
    </w:p>
    <w:p>
      <w:pPr>
        <w:pStyle w:val="ListParagraph"/>
        <w:numPr>
          <w:ilvl w:val="2"/>
          <w:numId w:val="1"/>
        </w:numPr>
        <w:tabs>
          <w:tab w:pos="2278" w:val="left" w:leader="none"/>
          <w:tab w:pos="2280" w:val="left" w:leader="none"/>
        </w:tabs>
        <w:spacing w:line="240" w:lineRule="auto" w:before="0" w:after="0"/>
        <w:ind w:left="2280" w:right="116" w:hanging="532"/>
        <w:jc w:val="both"/>
        <w:rPr>
          <w:sz w:val="18"/>
        </w:rPr>
      </w:pPr>
      <w:r>
        <w:rPr>
          <w:sz w:val="18"/>
        </w:rPr>
        <w:t>Indemnify and hold harmless any and all entities to include but not limited to the County of Lake, the Board of Commissioners of the County of Lake, the Lake County Highway Department, it’s elected officials, it’s appointed officials, it’s</w:t>
      </w:r>
      <w:r>
        <w:rPr>
          <w:spacing w:val="-3"/>
          <w:sz w:val="18"/>
        </w:rPr>
        <w:t> </w:t>
      </w:r>
      <w:r>
        <w:rPr>
          <w:sz w:val="18"/>
        </w:rPr>
        <w:t>employees,</w:t>
      </w:r>
      <w:r>
        <w:rPr>
          <w:spacing w:val="-3"/>
          <w:sz w:val="18"/>
        </w:rPr>
        <w:t> </w:t>
      </w:r>
      <w:r>
        <w:rPr>
          <w:sz w:val="18"/>
        </w:rPr>
        <w:t>and</w:t>
      </w:r>
      <w:r>
        <w:rPr>
          <w:spacing w:val="-3"/>
          <w:sz w:val="18"/>
        </w:rPr>
        <w:t> </w:t>
      </w:r>
      <w:r>
        <w:rPr>
          <w:sz w:val="18"/>
        </w:rPr>
        <w:t>or</w:t>
      </w:r>
      <w:r>
        <w:rPr>
          <w:spacing w:val="-3"/>
          <w:sz w:val="18"/>
        </w:rPr>
        <w:t> </w:t>
      </w:r>
      <w:r>
        <w:rPr>
          <w:sz w:val="18"/>
        </w:rPr>
        <w:t>its</w:t>
      </w:r>
      <w:r>
        <w:rPr>
          <w:spacing w:val="-3"/>
          <w:sz w:val="18"/>
        </w:rPr>
        <w:t> </w:t>
      </w:r>
      <w:r>
        <w:rPr>
          <w:sz w:val="18"/>
        </w:rPr>
        <w:t>agents</w:t>
      </w:r>
      <w:r>
        <w:rPr>
          <w:spacing w:val="-3"/>
          <w:sz w:val="18"/>
        </w:rPr>
        <w:t> </w:t>
      </w:r>
      <w:r>
        <w:rPr>
          <w:sz w:val="18"/>
        </w:rPr>
        <w:t>for</w:t>
      </w:r>
      <w:r>
        <w:rPr>
          <w:spacing w:val="-3"/>
          <w:sz w:val="18"/>
        </w:rPr>
        <w:t> </w:t>
      </w:r>
      <w:r>
        <w:rPr>
          <w:sz w:val="18"/>
        </w:rPr>
        <w:t>any</w:t>
      </w:r>
      <w:r>
        <w:rPr>
          <w:spacing w:val="-3"/>
          <w:sz w:val="18"/>
        </w:rPr>
        <w:t> </w:t>
      </w:r>
      <w:r>
        <w:rPr>
          <w:sz w:val="18"/>
        </w:rPr>
        <w:t>and</w:t>
      </w:r>
      <w:r>
        <w:rPr>
          <w:spacing w:val="-3"/>
          <w:sz w:val="18"/>
        </w:rPr>
        <w:t> </w:t>
      </w:r>
      <w:r>
        <w:rPr>
          <w:sz w:val="18"/>
        </w:rPr>
        <w:t>all</w:t>
      </w:r>
      <w:r>
        <w:rPr>
          <w:spacing w:val="-2"/>
          <w:sz w:val="18"/>
        </w:rPr>
        <w:t> </w:t>
      </w:r>
      <w:r>
        <w:rPr>
          <w:sz w:val="18"/>
        </w:rPr>
        <w:t>expenses</w:t>
      </w:r>
      <w:r>
        <w:rPr>
          <w:spacing w:val="-3"/>
          <w:sz w:val="18"/>
        </w:rPr>
        <w:t> </w:t>
      </w:r>
      <w:r>
        <w:rPr>
          <w:sz w:val="18"/>
        </w:rPr>
        <w:t>or</w:t>
      </w:r>
      <w:r>
        <w:rPr>
          <w:spacing w:val="-3"/>
          <w:sz w:val="18"/>
        </w:rPr>
        <w:t> </w:t>
      </w:r>
      <w:r>
        <w:rPr>
          <w:sz w:val="18"/>
        </w:rPr>
        <w:t>charges</w:t>
      </w:r>
      <w:r>
        <w:rPr>
          <w:spacing w:val="-3"/>
          <w:sz w:val="18"/>
        </w:rPr>
        <w:t> </w:t>
      </w:r>
      <w:r>
        <w:rPr>
          <w:sz w:val="18"/>
        </w:rPr>
        <w:t>to</w:t>
      </w:r>
      <w:r>
        <w:rPr>
          <w:spacing w:val="-3"/>
          <w:sz w:val="18"/>
        </w:rPr>
        <w:t> </w:t>
      </w:r>
      <w:r>
        <w:rPr>
          <w:sz w:val="18"/>
        </w:rPr>
        <w:t>include attorney</w:t>
      </w:r>
      <w:r>
        <w:rPr>
          <w:spacing w:val="-1"/>
          <w:sz w:val="18"/>
        </w:rPr>
        <w:t> </w:t>
      </w:r>
      <w:r>
        <w:rPr>
          <w:sz w:val="18"/>
        </w:rPr>
        <w:t>fees which</w:t>
      </w:r>
      <w:r>
        <w:rPr>
          <w:spacing w:val="-2"/>
          <w:sz w:val="18"/>
        </w:rPr>
        <w:t> </w:t>
      </w:r>
      <w:r>
        <w:rPr>
          <w:sz w:val="18"/>
        </w:rPr>
        <w:t>these</w:t>
      </w:r>
      <w:r>
        <w:rPr>
          <w:spacing w:val="-1"/>
          <w:sz w:val="18"/>
        </w:rPr>
        <w:t> </w:t>
      </w:r>
      <w:r>
        <w:rPr>
          <w:sz w:val="18"/>
        </w:rPr>
        <w:t>entities</w:t>
      </w:r>
      <w:r>
        <w:rPr>
          <w:spacing w:val="-1"/>
          <w:sz w:val="18"/>
        </w:rPr>
        <w:t> </w:t>
      </w:r>
      <w:r>
        <w:rPr>
          <w:sz w:val="18"/>
        </w:rPr>
        <w:t>or</w:t>
      </w:r>
      <w:r>
        <w:rPr>
          <w:spacing w:val="-1"/>
          <w:sz w:val="18"/>
        </w:rPr>
        <w:t> </w:t>
      </w:r>
      <w:r>
        <w:rPr>
          <w:sz w:val="18"/>
        </w:rPr>
        <w:t>person</w:t>
      </w:r>
      <w:r>
        <w:rPr>
          <w:spacing w:val="-1"/>
          <w:sz w:val="18"/>
        </w:rPr>
        <w:t> </w:t>
      </w:r>
      <w:r>
        <w:rPr>
          <w:sz w:val="18"/>
        </w:rPr>
        <w:t>might</w:t>
      </w:r>
      <w:r>
        <w:rPr>
          <w:spacing w:val="-1"/>
          <w:sz w:val="18"/>
        </w:rPr>
        <w:t> </w:t>
      </w:r>
      <w:r>
        <w:rPr>
          <w:sz w:val="18"/>
        </w:rPr>
        <w:t>have</w:t>
      </w:r>
      <w:r>
        <w:rPr>
          <w:spacing w:val="-1"/>
          <w:sz w:val="18"/>
        </w:rPr>
        <w:t> </w:t>
      </w:r>
      <w:r>
        <w:rPr>
          <w:sz w:val="18"/>
        </w:rPr>
        <w:t>to</w:t>
      </w:r>
      <w:r>
        <w:rPr>
          <w:spacing w:val="-1"/>
          <w:sz w:val="18"/>
        </w:rPr>
        <w:t> </w:t>
      </w:r>
      <w:r>
        <w:rPr>
          <w:sz w:val="18"/>
        </w:rPr>
        <w:t>pay</w:t>
      </w:r>
      <w:r>
        <w:rPr>
          <w:spacing w:val="-1"/>
          <w:sz w:val="18"/>
        </w:rPr>
        <w:t> </w:t>
      </w:r>
      <w:r>
        <w:rPr>
          <w:sz w:val="18"/>
        </w:rPr>
        <w:t>by</w:t>
      </w:r>
      <w:r>
        <w:rPr>
          <w:spacing w:val="-1"/>
          <w:sz w:val="18"/>
        </w:rPr>
        <w:t> </w:t>
      </w:r>
      <w:r>
        <w:rPr>
          <w:sz w:val="18"/>
        </w:rPr>
        <w:t>virtue</w:t>
      </w:r>
      <w:r>
        <w:rPr>
          <w:spacing w:val="-1"/>
          <w:sz w:val="18"/>
        </w:rPr>
        <w:t> </w:t>
      </w:r>
      <w:r>
        <w:rPr>
          <w:sz w:val="18"/>
        </w:rPr>
        <w:t>of</w:t>
      </w:r>
      <w:r>
        <w:rPr>
          <w:spacing w:val="-1"/>
          <w:sz w:val="18"/>
        </w:rPr>
        <w:t> </w:t>
      </w:r>
      <w:r>
        <w:rPr>
          <w:sz w:val="18"/>
        </w:rPr>
        <w:t>the successful owners actions, non-actions, or performance.</w:t>
      </w:r>
    </w:p>
    <w:p>
      <w:pPr>
        <w:pStyle w:val="BodyText"/>
      </w:pPr>
    </w:p>
    <w:p>
      <w:pPr>
        <w:pStyle w:val="ListParagraph"/>
        <w:numPr>
          <w:ilvl w:val="1"/>
          <w:numId w:val="1"/>
        </w:numPr>
        <w:tabs>
          <w:tab w:pos="1557" w:val="left" w:leader="none"/>
          <w:tab w:pos="1560" w:val="left" w:leader="none"/>
        </w:tabs>
        <w:spacing w:line="240" w:lineRule="auto" w:before="0" w:after="0"/>
        <w:ind w:left="1560" w:right="116" w:hanging="566"/>
        <w:jc w:val="both"/>
        <w:rPr>
          <w:sz w:val="18"/>
        </w:rPr>
      </w:pPr>
      <w:r>
        <w:rPr>
          <w:sz w:val="18"/>
        </w:rPr>
        <w:t>The KVHS or any other qualified recipient shall be required to perform archaeological investigations, as needed, for the proposed relocation site for Bridge No. 2, in consultation with the Indiana SHPO.</w:t>
      </w:r>
      <w:r>
        <w:rPr>
          <w:spacing w:val="80"/>
          <w:sz w:val="18"/>
        </w:rPr>
        <w:t> </w:t>
      </w:r>
      <w:r>
        <w:rPr>
          <w:sz w:val="18"/>
        </w:rPr>
        <w:t>The KVHS or any other qualified recipient shall</w:t>
      </w:r>
      <w:r>
        <w:rPr>
          <w:spacing w:val="40"/>
          <w:sz w:val="18"/>
        </w:rPr>
        <w:t> </w:t>
      </w:r>
      <w:r>
        <w:rPr>
          <w:sz w:val="18"/>
        </w:rPr>
        <w:t>be permitted to change the relocation site in order to avoid an archaeological site.</w:t>
      </w:r>
    </w:p>
    <w:p>
      <w:pPr>
        <w:pStyle w:val="ListParagraph"/>
        <w:numPr>
          <w:ilvl w:val="1"/>
          <w:numId w:val="1"/>
        </w:numPr>
        <w:tabs>
          <w:tab w:pos="1558" w:val="left" w:leader="none"/>
          <w:tab w:pos="1560" w:val="left" w:leader="none"/>
        </w:tabs>
        <w:spacing w:line="240" w:lineRule="auto" w:before="1" w:after="0"/>
        <w:ind w:left="1560" w:right="117" w:hanging="561"/>
        <w:jc w:val="both"/>
        <w:rPr>
          <w:sz w:val="18"/>
        </w:rPr>
      </w:pPr>
      <w:r>
        <w:rPr>
          <w:sz w:val="18"/>
        </w:rPr>
        <w:t>The KVHS or any other qualified recipient shall submit detailed rehabilitation and reassembly</w:t>
      </w:r>
      <w:r>
        <w:rPr>
          <w:spacing w:val="34"/>
          <w:sz w:val="18"/>
        </w:rPr>
        <w:t> </w:t>
      </w:r>
      <w:r>
        <w:rPr>
          <w:sz w:val="18"/>
        </w:rPr>
        <w:t>plans</w:t>
      </w:r>
      <w:r>
        <w:rPr>
          <w:spacing w:val="32"/>
          <w:sz w:val="18"/>
        </w:rPr>
        <w:t> </w:t>
      </w:r>
      <w:r>
        <w:rPr>
          <w:sz w:val="18"/>
        </w:rPr>
        <w:t>for</w:t>
      </w:r>
      <w:r>
        <w:rPr>
          <w:spacing w:val="32"/>
          <w:sz w:val="18"/>
        </w:rPr>
        <w:t> </w:t>
      </w:r>
      <w:r>
        <w:rPr>
          <w:sz w:val="18"/>
        </w:rPr>
        <w:t>Bridge</w:t>
      </w:r>
      <w:r>
        <w:rPr>
          <w:spacing w:val="33"/>
          <w:sz w:val="18"/>
        </w:rPr>
        <w:t> </w:t>
      </w:r>
      <w:r>
        <w:rPr>
          <w:sz w:val="18"/>
        </w:rPr>
        <w:t>No.</w:t>
      </w:r>
      <w:r>
        <w:rPr>
          <w:spacing w:val="33"/>
          <w:sz w:val="18"/>
        </w:rPr>
        <w:t> </w:t>
      </w:r>
      <w:r>
        <w:rPr>
          <w:sz w:val="18"/>
        </w:rPr>
        <w:t>2</w:t>
      </w:r>
      <w:r>
        <w:rPr>
          <w:spacing w:val="34"/>
          <w:sz w:val="18"/>
        </w:rPr>
        <w:t> </w:t>
      </w:r>
      <w:r>
        <w:rPr>
          <w:sz w:val="18"/>
        </w:rPr>
        <w:t>to</w:t>
      </w:r>
      <w:r>
        <w:rPr>
          <w:spacing w:val="33"/>
          <w:sz w:val="18"/>
        </w:rPr>
        <w:t> </w:t>
      </w:r>
      <w:r>
        <w:rPr>
          <w:sz w:val="18"/>
        </w:rPr>
        <w:t>the</w:t>
      </w:r>
      <w:r>
        <w:rPr>
          <w:spacing w:val="32"/>
          <w:sz w:val="18"/>
        </w:rPr>
        <w:t> </w:t>
      </w:r>
      <w:r>
        <w:rPr>
          <w:sz w:val="18"/>
        </w:rPr>
        <w:t>Indiana</w:t>
      </w:r>
      <w:r>
        <w:rPr>
          <w:spacing w:val="32"/>
          <w:sz w:val="18"/>
        </w:rPr>
        <w:t> </w:t>
      </w:r>
      <w:r>
        <w:rPr>
          <w:sz w:val="18"/>
        </w:rPr>
        <w:t>SHPO,</w:t>
      </w:r>
      <w:r>
        <w:rPr>
          <w:spacing w:val="33"/>
          <w:sz w:val="18"/>
        </w:rPr>
        <w:t> </w:t>
      </w:r>
      <w:r>
        <w:rPr>
          <w:sz w:val="18"/>
        </w:rPr>
        <w:t>INDOT</w:t>
      </w:r>
      <w:r>
        <w:rPr>
          <w:spacing w:val="32"/>
          <w:sz w:val="18"/>
        </w:rPr>
        <w:t> </w:t>
      </w:r>
      <w:r>
        <w:rPr>
          <w:sz w:val="18"/>
        </w:rPr>
        <w:t>Cultural</w:t>
      </w:r>
      <w:r>
        <w:rPr>
          <w:spacing w:val="32"/>
          <w:sz w:val="18"/>
        </w:rPr>
        <w:t> </w:t>
      </w:r>
      <w:r>
        <w:rPr>
          <w:sz w:val="18"/>
        </w:rPr>
        <w:t>Resources</w:t>
      </w:r>
    </w:p>
    <w:p>
      <w:pPr>
        <w:spacing w:after="0" w:line="240" w:lineRule="auto"/>
        <w:jc w:val="both"/>
        <w:rPr>
          <w:sz w:val="18"/>
        </w:rPr>
        <w:sectPr>
          <w:pgSz w:w="12240" w:h="15840"/>
          <w:pgMar w:header="0" w:footer="1205" w:top="1360" w:bottom="1400" w:left="1320" w:right="1320"/>
        </w:sectPr>
      </w:pPr>
    </w:p>
    <w:p>
      <w:pPr>
        <w:pStyle w:val="BodyText"/>
        <w:spacing w:before="80"/>
        <w:ind w:left="1560" w:right="117"/>
      </w:pPr>
      <w:r>
        <w:rPr/>
        <w:t>Section and the Historic Landmarks Foundation of Indiana, Inc. for a 30-day review</w:t>
      </w:r>
      <w:r>
        <w:rPr>
          <w:spacing w:val="80"/>
        </w:rPr>
        <w:t> </w:t>
      </w:r>
      <w:r>
        <w:rPr/>
        <w:t>and comment period before beginning rehabilitation and reassembly.</w:t>
      </w:r>
    </w:p>
    <w:p>
      <w:pPr>
        <w:pStyle w:val="BodyText"/>
      </w:pPr>
    </w:p>
    <w:p>
      <w:pPr>
        <w:pStyle w:val="ListParagraph"/>
        <w:numPr>
          <w:ilvl w:val="1"/>
          <w:numId w:val="1"/>
        </w:numPr>
        <w:tabs>
          <w:tab w:pos="1557" w:val="left" w:leader="none"/>
          <w:tab w:pos="1560" w:val="left" w:leader="none"/>
        </w:tabs>
        <w:spacing w:line="240" w:lineRule="auto" w:before="0" w:after="0"/>
        <w:ind w:left="1560" w:right="115" w:hanging="502"/>
        <w:jc w:val="both"/>
        <w:rPr>
          <w:sz w:val="18"/>
        </w:rPr>
      </w:pPr>
      <w:r>
        <w:rPr>
          <w:sz w:val="18"/>
        </w:rPr>
        <w:t>As part of the mitigation for the replacement of Bridge No. 2, the Lake County Board</w:t>
      </w:r>
      <w:r>
        <w:rPr>
          <w:spacing w:val="40"/>
          <w:sz w:val="18"/>
        </w:rPr>
        <w:t> </w:t>
      </w:r>
      <w:r>
        <w:rPr>
          <w:sz w:val="18"/>
        </w:rPr>
        <w:t>of Commissioners and the Kankakee County Board will rehabilitate Lake County Bridge No. 36, which is considered to be eligible for inclusion in the National Register of Historic Places.</w:t>
      </w:r>
      <w:r>
        <w:rPr>
          <w:spacing w:val="80"/>
          <w:sz w:val="18"/>
        </w:rPr>
        <w:t> </w:t>
      </w:r>
      <w:r>
        <w:rPr>
          <w:sz w:val="18"/>
        </w:rPr>
        <w:t>If possible, the rehabilitation will adhere to the applicable rehabilitation</w:t>
      </w:r>
      <w:r>
        <w:rPr>
          <w:spacing w:val="-1"/>
          <w:sz w:val="18"/>
        </w:rPr>
        <w:t> </w:t>
      </w:r>
      <w:r>
        <w:rPr>
          <w:sz w:val="18"/>
        </w:rPr>
        <w:t>standards</w:t>
      </w:r>
      <w:r>
        <w:rPr>
          <w:spacing w:val="-1"/>
          <w:sz w:val="18"/>
        </w:rPr>
        <w:t> </w:t>
      </w:r>
      <w:r>
        <w:rPr>
          <w:sz w:val="18"/>
        </w:rPr>
        <w:t>and</w:t>
      </w:r>
      <w:r>
        <w:rPr>
          <w:spacing w:val="-1"/>
          <w:sz w:val="18"/>
        </w:rPr>
        <w:t> </w:t>
      </w:r>
      <w:r>
        <w:rPr>
          <w:sz w:val="18"/>
        </w:rPr>
        <w:t>guidelines</w:t>
      </w:r>
      <w:r>
        <w:rPr>
          <w:spacing w:val="-1"/>
          <w:sz w:val="18"/>
        </w:rPr>
        <w:t> </w:t>
      </w:r>
      <w:r>
        <w:rPr>
          <w:sz w:val="18"/>
        </w:rPr>
        <w:t>of</w:t>
      </w:r>
      <w:r>
        <w:rPr>
          <w:spacing w:val="-1"/>
          <w:sz w:val="18"/>
        </w:rPr>
        <w:t> </w:t>
      </w:r>
      <w:r>
        <w:rPr>
          <w:sz w:val="18"/>
        </w:rPr>
        <w:t>the</w:t>
      </w:r>
      <w:r>
        <w:rPr>
          <w:spacing w:val="-1"/>
          <w:sz w:val="18"/>
        </w:rPr>
        <w:t> </w:t>
      </w:r>
      <w:r>
        <w:rPr>
          <w:sz w:val="18"/>
        </w:rPr>
        <w:t>“Secretary</w:t>
      </w:r>
      <w:r>
        <w:rPr>
          <w:spacing w:val="-1"/>
          <w:sz w:val="18"/>
        </w:rPr>
        <w:t> </w:t>
      </w:r>
      <w:r>
        <w:rPr>
          <w:sz w:val="18"/>
        </w:rPr>
        <w:t>of</w:t>
      </w:r>
      <w:r>
        <w:rPr>
          <w:spacing w:val="-1"/>
          <w:sz w:val="18"/>
        </w:rPr>
        <w:t> </w:t>
      </w:r>
      <w:r>
        <w:rPr>
          <w:sz w:val="18"/>
        </w:rPr>
        <w:t>the</w:t>
      </w:r>
      <w:r>
        <w:rPr>
          <w:spacing w:val="-1"/>
          <w:sz w:val="18"/>
        </w:rPr>
        <w:t> </w:t>
      </w:r>
      <w:r>
        <w:rPr>
          <w:sz w:val="18"/>
        </w:rPr>
        <w:t>Interior’s</w:t>
      </w:r>
      <w:r>
        <w:rPr>
          <w:spacing w:val="-1"/>
          <w:sz w:val="18"/>
        </w:rPr>
        <w:t> </w:t>
      </w:r>
      <w:r>
        <w:rPr>
          <w:sz w:val="18"/>
        </w:rPr>
        <w:t>Standards</w:t>
      </w:r>
      <w:r>
        <w:rPr>
          <w:spacing w:val="-1"/>
          <w:sz w:val="18"/>
        </w:rPr>
        <w:t> </w:t>
      </w:r>
      <w:r>
        <w:rPr>
          <w:sz w:val="18"/>
        </w:rPr>
        <w:t>for the Treatment of Historic Properties.”</w:t>
      </w:r>
      <w:r>
        <w:rPr>
          <w:spacing w:val="40"/>
          <w:sz w:val="18"/>
        </w:rPr>
        <w:t> </w:t>
      </w:r>
      <w:r>
        <w:rPr>
          <w:sz w:val="18"/>
        </w:rPr>
        <w:t>The Lake County Board of Commissioners shall submit detailed rehabilitation plans for Bridge No. 36 to the Kankakee County Board</w:t>
      </w:r>
      <w:r>
        <w:rPr>
          <w:spacing w:val="40"/>
          <w:sz w:val="18"/>
        </w:rPr>
        <w:t> </w:t>
      </w:r>
      <w:r>
        <w:rPr>
          <w:sz w:val="18"/>
        </w:rPr>
        <w:t>for a 30-day review and comment period.</w:t>
      </w:r>
      <w:r>
        <w:rPr>
          <w:spacing w:val="80"/>
          <w:sz w:val="18"/>
        </w:rPr>
        <w:t> </w:t>
      </w:r>
      <w:r>
        <w:rPr>
          <w:sz w:val="18"/>
        </w:rPr>
        <w:t>At the conclusion of this comment period the Lake County Board and the Kankakee County Board shall submit the detailed rehabilitation plans to the Indiana SHPO, INDOT Cultural Resources Section and the Historic Landmarks Foundation of Indiana, Inc. for a 30-day review and comment period before beginning rehabilitation.</w:t>
      </w:r>
      <w:r>
        <w:rPr>
          <w:spacing w:val="40"/>
          <w:sz w:val="18"/>
        </w:rPr>
        <w:t> </w:t>
      </w:r>
      <w:r>
        <w:rPr>
          <w:sz w:val="18"/>
        </w:rPr>
        <w:t>If Bridge No. 36 cannot be rehabilitated in accordance with the applicable rehabilitation standards and guidelines, then the rehabilitation of the bridge will be considered to have an “adverse effect,” and the rehabilitation project shall be reviewed in accordance with 36 C.F.R. Part 800, which may require the development and execution of a project-specific memorandum of agreement (MOA).</w:t>
      </w:r>
    </w:p>
    <w:p>
      <w:pPr>
        <w:pStyle w:val="BodyText"/>
        <w:spacing w:before="11"/>
        <w:rPr>
          <w:sz w:val="17"/>
        </w:rPr>
      </w:pPr>
    </w:p>
    <w:p>
      <w:pPr>
        <w:pStyle w:val="ListParagraph"/>
        <w:numPr>
          <w:ilvl w:val="0"/>
          <w:numId w:val="1"/>
        </w:numPr>
        <w:tabs>
          <w:tab w:pos="839" w:val="left" w:leader="none"/>
        </w:tabs>
        <w:spacing w:line="240" w:lineRule="auto" w:before="1" w:after="0"/>
        <w:ind w:left="839" w:right="0" w:hanging="577"/>
        <w:jc w:val="left"/>
        <w:rPr>
          <w:sz w:val="18"/>
        </w:rPr>
      </w:pPr>
      <w:r>
        <w:rPr>
          <w:sz w:val="18"/>
        </w:rPr>
        <w:t>OBJECTION</w:t>
      </w:r>
      <w:r>
        <w:rPr>
          <w:spacing w:val="-9"/>
          <w:sz w:val="18"/>
        </w:rPr>
        <w:t> </w:t>
      </w:r>
      <w:r>
        <w:rPr>
          <w:sz w:val="18"/>
        </w:rPr>
        <w:t>RESOLUTION</w:t>
      </w:r>
      <w:r>
        <w:rPr>
          <w:spacing w:val="-7"/>
          <w:sz w:val="18"/>
        </w:rPr>
        <w:t> </w:t>
      </w:r>
      <w:r>
        <w:rPr>
          <w:spacing w:val="-2"/>
          <w:sz w:val="18"/>
        </w:rPr>
        <w:t>PROVISION</w:t>
      </w:r>
    </w:p>
    <w:p>
      <w:pPr>
        <w:pStyle w:val="BodyText"/>
        <w:rPr>
          <w:sz w:val="23"/>
        </w:rPr>
      </w:pPr>
    </w:p>
    <w:p>
      <w:pPr>
        <w:pStyle w:val="BodyText"/>
        <w:spacing w:before="1"/>
        <w:ind w:left="840" w:right="117"/>
        <w:jc w:val="both"/>
      </w:pPr>
      <w:r>
        <w:rPr/>
        <w:t>Disagreement and misunderstanding about how this memorandum of agreement is or is not being implemented shall be resolved in the following manner:</w:t>
      </w:r>
    </w:p>
    <w:p>
      <w:pPr>
        <w:pStyle w:val="BodyText"/>
        <w:rPr>
          <w:sz w:val="23"/>
        </w:rPr>
      </w:pPr>
    </w:p>
    <w:p>
      <w:pPr>
        <w:pStyle w:val="ListParagraph"/>
        <w:numPr>
          <w:ilvl w:val="1"/>
          <w:numId w:val="1"/>
        </w:numPr>
        <w:tabs>
          <w:tab w:pos="1557" w:val="left" w:leader="none"/>
          <w:tab w:pos="1559" w:val="left" w:leader="none"/>
        </w:tabs>
        <w:spacing w:line="240" w:lineRule="auto" w:before="0" w:after="0"/>
        <w:ind w:left="1559" w:right="115" w:hanging="549"/>
        <w:jc w:val="both"/>
        <w:rPr>
          <w:sz w:val="18"/>
        </w:rPr>
      </w:pPr>
      <w:r>
        <w:rPr>
          <w:sz w:val="18"/>
        </w:rPr>
        <w:t>If the Indiana SHPO or any invited signatory to this memorandum of agreement</w:t>
      </w:r>
      <w:r>
        <w:rPr>
          <w:spacing w:val="80"/>
          <w:sz w:val="18"/>
        </w:rPr>
        <w:t> </w:t>
      </w:r>
      <w:r>
        <w:rPr>
          <w:sz w:val="18"/>
        </w:rPr>
        <w:t>should</w:t>
      </w:r>
      <w:r>
        <w:rPr>
          <w:spacing w:val="-1"/>
          <w:sz w:val="18"/>
        </w:rPr>
        <w:t> </w:t>
      </w:r>
      <w:r>
        <w:rPr>
          <w:sz w:val="18"/>
        </w:rPr>
        <w:t>object</w:t>
      </w:r>
      <w:r>
        <w:rPr>
          <w:spacing w:val="-1"/>
          <w:sz w:val="18"/>
        </w:rPr>
        <w:t> </w:t>
      </w:r>
      <w:r>
        <w:rPr>
          <w:sz w:val="18"/>
        </w:rPr>
        <w:t>in</w:t>
      </w:r>
      <w:r>
        <w:rPr>
          <w:spacing w:val="-2"/>
          <w:sz w:val="18"/>
        </w:rPr>
        <w:t> </w:t>
      </w:r>
      <w:r>
        <w:rPr>
          <w:sz w:val="18"/>
        </w:rPr>
        <w:t>writing</w:t>
      </w:r>
      <w:r>
        <w:rPr>
          <w:spacing w:val="-1"/>
          <w:sz w:val="18"/>
        </w:rPr>
        <w:t> </w:t>
      </w:r>
      <w:r>
        <w:rPr>
          <w:sz w:val="18"/>
        </w:rPr>
        <w:t>to</w:t>
      </w:r>
      <w:r>
        <w:rPr>
          <w:spacing w:val="-2"/>
          <w:sz w:val="18"/>
        </w:rPr>
        <w:t> </w:t>
      </w:r>
      <w:r>
        <w:rPr>
          <w:sz w:val="18"/>
        </w:rPr>
        <w:t>the</w:t>
      </w:r>
      <w:r>
        <w:rPr>
          <w:spacing w:val="-1"/>
          <w:sz w:val="18"/>
        </w:rPr>
        <w:t> </w:t>
      </w:r>
      <w:r>
        <w:rPr>
          <w:sz w:val="18"/>
        </w:rPr>
        <w:t>FHWA</w:t>
      </w:r>
      <w:r>
        <w:rPr>
          <w:spacing w:val="-1"/>
          <w:sz w:val="18"/>
        </w:rPr>
        <w:t> </w:t>
      </w:r>
      <w:r>
        <w:rPr>
          <w:sz w:val="18"/>
        </w:rPr>
        <w:t>regarding</w:t>
      </w:r>
      <w:r>
        <w:rPr>
          <w:spacing w:val="-1"/>
          <w:sz w:val="18"/>
        </w:rPr>
        <w:t> </w:t>
      </w:r>
      <w:r>
        <w:rPr>
          <w:sz w:val="18"/>
        </w:rPr>
        <w:t>any</w:t>
      </w:r>
      <w:r>
        <w:rPr>
          <w:spacing w:val="-2"/>
          <w:sz w:val="18"/>
        </w:rPr>
        <w:t> </w:t>
      </w:r>
      <w:r>
        <w:rPr>
          <w:sz w:val="18"/>
        </w:rPr>
        <w:t>action</w:t>
      </w:r>
      <w:r>
        <w:rPr>
          <w:spacing w:val="-1"/>
          <w:sz w:val="18"/>
        </w:rPr>
        <w:t> </w:t>
      </w:r>
      <w:r>
        <w:rPr>
          <w:sz w:val="18"/>
        </w:rPr>
        <w:t>carried</w:t>
      </w:r>
      <w:r>
        <w:rPr>
          <w:spacing w:val="-1"/>
          <w:sz w:val="18"/>
        </w:rPr>
        <w:t> </w:t>
      </w:r>
      <w:r>
        <w:rPr>
          <w:sz w:val="18"/>
        </w:rPr>
        <w:t>out</w:t>
      </w:r>
      <w:r>
        <w:rPr>
          <w:spacing w:val="-1"/>
          <w:sz w:val="18"/>
        </w:rPr>
        <w:t> </w:t>
      </w:r>
      <w:r>
        <w:rPr>
          <w:sz w:val="18"/>
        </w:rPr>
        <w:t>or</w:t>
      </w:r>
      <w:r>
        <w:rPr>
          <w:spacing w:val="-1"/>
          <w:sz w:val="18"/>
        </w:rPr>
        <w:t> </w:t>
      </w:r>
      <w:r>
        <w:rPr>
          <w:sz w:val="18"/>
        </w:rPr>
        <w:t>proposed</w:t>
      </w:r>
      <w:r>
        <w:rPr>
          <w:spacing w:val="-1"/>
          <w:sz w:val="18"/>
        </w:rPr>
        <w:t> </w:t>
      </w:r>
      <w:r>
        <w:rPr>
          <w:sz w:val="18"/>
        </w:rPr>
        <w:t>with respect to the replacement of Lake County Bridge No. 2 or implementation of this memorandum of agreement, then the FHWA shall consult with the objecting party to resolve this objection. If after such consultation the FHWA determines that the objection cannot be resolved through consultation, then the FHWA shall forward all documentation</w:t>
      </w:r>
      <w:r>
        <w:rPr>
          <w:spacing w:val="-1"/>
          <w:sz w:val="18"/>
        </w:rPr>
        <w:t> </w:t>
      </w:r>
      <w:r>
        <w:rPr>
          <w:sz w:val="18"/>
        </w:rPr>
        <w:t>relevant</w:t>
      </w:r>
      <w:r>
        <w:rPr>
          <w:spacing w:val="-1"/>
          <w:sz w:val="18"/>
        </w:rPr>
        <w:t> </w:t>
      </w:r>
      <w:r>
        <w:rPr>
          <w:sz w:val="18"/>
        </w:rPr>
        <w:t>to</w:t>
      </w:r>
      <w:r>
        <w:rPr>
          <w:spacing w:val="-1"/>
          <w:sz w:val="18"/>
        </w:rPr>
        <w:t> </w:t>
      </w:r>
      <w:r>
        <w:rPr>
          <w:sz w:val="18"/>
        </w:rPr>
        <w:t>the</w:t>
      </w:r>
      <w:r>
        <w:rPr>
          <w:spacing w:val="-1"/>
          <w:sz w:val="18"/>
        </w:rPr>
        <w:t> </w:t>
      </w:r>
      <w:r>
        <w:rPr>
          <w:sz w:val="18"/>
        </w:rPr>
        <w:t>objection</w:t>
      </w:r>
      <w:r>
        <w:rPr>
          <w:spacing w:val="-1"/>
          <w:sz w:val="18"/>
        </w:rPr>
        <w:t> </w:t>
      </w:r>
      <w:r>
        <w:rPr>
          <w:sz w:val="18"/>
        </w:rPr>
        <w:t>to</w:t>
      </w:r>
      <w:r>
        <w:rPr>
          <w:spacing w:val="-1"/>
          <w:sz w:val="18"/>
        </w:rPr>
        <w:t> </w:t>
      </w:r>
      <w:r>
        <w:rPr>
          <w:sz w:val="18"/>
        </w:rPr>
        <w:t>the</w:t>
      </w:r>
      <w:r>
        <w:rPr>
          <w:spacing w:val="-1"/>
          <w:sz w:val="18"/>
        </w:rPr>
        <w:t> </w:t>
      </w:r>
      <w:r>
        <w:rPr>
          <w:sz w:val="18"/>
        </w:rPr>
        <w:t>Council,</w:t>
      </w:r>
      <w:r>
        <w:rPr>
          <w:spacing w:val="-2"/>
          <w:sz w:val="18"/>
        </w:rPr>
        <w:t> </w:t>
      </w:r>
      <w:r>
        <w:rPr>
          <w:sz w:val="18"/>
        </w:rPr>
        <w:t>including</w:t>
      </w:r>
      <w:r>
        <w:rPr>
          <w:spacing w:val="-1"/>
          <w:sz w:val="18"/>
        </w:rPr>
        <w:t> </w:t>
      </w:r>
      <w:r>
        <w:rPr>
          <w:sz w:val="18"/>
        </w:rPr>
        <w:t>the</w:t>
      </w:r>
      <w:r>
        <w:rPr>
          <w:spacing w:val="-1"/>
          <w:sz w:val="18"/>
        </w:rPr>
        <w:t> </w:t>
      </w:r>
      <w:r>
        <w:rPr>
          <w:sz w:val="18"/>
        </w:rPr>
        <w:t>FHWA's</w:t>
      </w:r>
      <w:r>
        <w:rPr>
          <w:spacing w:val="-1"/>
          <w:sz w:val="18"/>
        </w:rPr>
        <w:t> </w:t>
      </w:r>
      <w:r>
        <w:rPr>
          <w:sz w:val="18"/>
        </w:rPr>
        <w:t>proposed response to the objection. Within 45 days after receipt of all pertinent documentation, the Council shall exercise one of the following options:</w:t>
      </w:r>
    </w:p>
    <w:p>
      <w:pPr>
        <w:pStyle w:val="ListParagraph"/>
        <w:numPr>
          <w:ilvl w:val="2"/>
          <w:numId w:val="1"/>
        </w:numPr>
        <w:tabs>
          <w:tab w:pos="2277" w:val="left" w:leader="none"/>
          <w:tab w:pos="2279" w:val="left" w:leader="none"/>
        </w:tabs>
        <w:spacing w:line="240" w:lineRule="auto" w:before="0" w:after="0"/>
        <w:ind w:left="2279" w:right="115" w:hanging="476"/>
        <w:jc w:val="both"/>
        <w:rPr>
          <w:sz w:val="18"/>
        </w:rPr>
      </w:pPr>
      <w:r>
        <w:rPr>
          <w:sz w:val="18"/>
        </w:rPr>
        <w:t>Provide the FHWA with a staff-level recommendation, which the FHWA shall take into account in reaching a final decision regarding its response to the objection; or</w:t>
      </w:r>
    </w:p>
    <w:p>
      <w:pPr>
        <w:pStyle w:val="ListParagraph"/>
        <w:numPr>
          <w:ilvl w:val="2"/>
          <w:numId w:val="1"/>
        </w:numPr>
        <w:tabs>
          <w:tab w:pos="2276" w:val="left" w:leader="none"/>
          <w:tab w:pos="2279" w:val="left" w:leader="none"/>
        </w:tabs>
        <w:spacing w:line="240" w:lineRule="auto" w:before="0" w:after="0"/>
        <w:ind w:left="2279" w:right="116" w:hanging="525"/>
        <w:jc w:val="both"/>
        <w:rPr>
          <w:sz w:val="18"/>
        </w:rPr>
      </w:pPr>
      <w:r>
        <w:rPr>
          <w:sz w:val="18"/>
        </w:rPr>
        <w:t>Notify the FHWA that the objection will be referred for formal comment pursuant to 36 C.F.R. Section 800.7(c), and proceed to refer the objection and comment. The FHWA shall take into account the Council's comments in reaching a final decision regarding its response to the objection.</w:t>
      </w:r>
    </w:p>
    <w:p>
      <w:pPr>
        <w:pStyle w:val="BodyText"/>
      </w:pPr>
    </w:p>
    <w:p>
      <w:pPr>
        <w:pStyle w:val="ListParagraph"/>
        <w:numPr>
          <w:ilvl w:val="1"/>
          <w:numId w:val="1"/>
        </w:numPr>
        <w:tabs>
          <w:tab w:pos="1557" w:val="left" w:leader="none"/>
          <w:tab w:pos="1559" w:val="left" w:leader="none"/>
        </w:tabs>
        <w:spacing w:line="240" w:lineRule="auto" w:before="0" w:after="0"/>
        <w:ind w:left="1559" w:right="116" w:hanging="549"/>
        <w:jc w:val="both"/>
        <w:rPr>
          <w:sz w:val="18"/>
        </w:rPr>
      </w:pPr>
      <w:r>
        <w:rPr>
          <w:sz w:val="18"/>
        </w:rPr>
        <w:t>If comments or recommendations from the Council are provided in accordance with this stipulation, then the FHWA shall take into account any Council comment or recommendations provided in accordance with this stipulation with reference only to the subject of the objection. The FHWA's responsibility to carry out all actions under the memorandum of agreement that are not the subjects of the objection shall remain </w:t>
      </w:r>
      <w:r>
        <w:rPr>
          <w:spacing w:val="-2"/>
          <w:sz w:val="18"/>
        </w:rPr>
        <w:t>unchanged.</w:t>
      </w:r>
    </w:p>
    <w:p>
      <w:pPr>
        <w:pStyle w:val="BodyText"/>
        <w:spacing w:before="9"/>
        <w:rPr>
          <w:sz w:val="17"/>
        </w:rPr>
      </w:pPr>
    </w:p>
    <w:p>
      <w:pPr>
        <w:pStyle w:val="Heading1"/>
        <w:numPr>
          <w:ilvl w:val="0"/>
          <w:numId w:val="1"/>
        </w:numPr>
        <w:tabs>
          <w:tab w:pos="840" w:val="left" w:leader="none"/>
        </w:tabs>
        <w:spacing w:line="240" w:lineRule="auto" w:before="0" w:after="0"/>
        <w:ind w:left="840" w:right="0" w:hanging="582"/>
        <w:jc w:val="left"/>
        <w:rPr>
          <w:rFonts w:ascii="Arial"/>
        </w:rPr>
      </w:pPr>
      <w:r>
        <w:rPr>
          <w:rFonts w:ascii="Arial"/>
        </w:rPr>
        <w:t>POST</w:t>
      </w:r>
      <w:r>
        <w:rPr>
          <w:rFonts w:ascii="Arial"/>
          <w:spacing w:val="-5"/>
        </w:rPr>
        <w:t> </w:t>
      </w:r>
      <w:r>
        <w:rPr>
          <w:rFonts w:ascii="Arial"/>
        </w:rPr>
        <w:t>REVIEW</w:t>
      </w:r>
      <w:r>
        <w:rPr>
          <w:rFonts w:ascii="Arial"/>
          <w:spacing w:val="-5"/>
        </w:rPr>
        <w:t> </w:t>
      </w:r>
      <w:r>
        <w:rPr>
          <w:rFonts w:ascii="Arial"/>
          <w:spacing w:val="-2"/>
        </w:rPr>
        <w:t>DISCOVERY</w:t>
      </w:r>
    </w:p>
    <w:p>
      <w:pPr>
        <w:pStyle w:val="BodyText"/>
        <w:spacing w:before="3"/>
        <w:rPr>
          <w:rFonts w:ascii="Arial"/>
          <w:sz w:val="20"/>
        </w:rPr>
      </w:pPr>
    </w:p>
    <w:p>
      <w:pPr>
        <w:pStyle w:val="BodyText"/>
        <w:ind w:left="840" w:right="116"/>
        <w:jc w:val="both"/>
      </w:pPr>
      <w:r>
        <w:rPr/>
        <w:t>In the event that one or more historic properties--other than Lake County Bridge No. 2 are discovered or that unanticipated effects on historic properties are found during the implementation of this memorandum of agreement, the FHWA shall follow the procedure specified in 36 C.F.R. Section 800.13, as well as and IC 14-21-1-27 and IC 14-21-1-29, by stopping work in the immediate area and informing the Indiana SHPO and the INDOT Cultural Resources</w:t>
      </w:r>
      <w:r>
        <w:rPr>
          <w:spacing w:val="21"/>
        </w:rPr>
        <w:t> </w:t>
      </w:r>
      <w:r>
        <w:rPr/>
        <w:t>Section</w:t>
      </w:r>
      <w:r>
        <w:rPr>
          <w:spacing w:val="20"/>
        </w:rPr>
        <w:t> </w:t>
      </w:r>
      <w:r>
        <w:rPr/>
        <w:t>of</w:t>
      </w:r>
      <w:r>
        <w:rPr>
          <w:spacing w:val="20"/>
        </w:rPr>
        <w:t> </w:t>
      </w:r>
      <w:r>
        <w:rPr/>
        <w:t>such</w:t>
      </w:r>
      <w:r>
        <w:rPr>
          <w:spacing w:val="20"/>
        </w:rPr>
        <w:t> </w:t>
      </w:r>
      <w:r>
        <w:rPr/>
        <w:t>unanticipated</w:t>
      </w:r>
      <w:r>
        <w:rPr>
          <w:spacing w:val="21"/>
        </w:rPr>
        <w:t> </w:t>
      </w:r>
      <w:r>
        <w:rPr/>
        <w:t>discoveries</w:t>
      </w:r>
      <w:r>
        <w:rPr>
          <w:spacing w:val="20"/>
        </w:rPr>
        <w:t> </w:t>
      </w:r>
      <w:r>
        <w:rPr/>
        <w:t>or</w:t>
      </w:r>
      <w:r>
        <w:rPr>
          <w:spacing w:val="20"/>
        </w:rPr>
        <w:t> </w:t>
      </w:r>
      <w:r>
        <w:rPr/>
        <w:t>effects</w:t>
      </w:r>
      <w:r>
        <w:rPr>
          <w:spacing w:val="21"/>
        </w:rPr>
        <w:t> </w:t>
      </w:r>
      <w:r>
        <w:rPr/>
        <w:t>within</w:t>
      </w:r>
      <w:r>
        <w:rPr>
          <w:spacing w:val="20"/>
        </w:rPr>
        <w:t> </w:t>
      </w:r>
      <w:r>
        <w:rPr/>
        <w:t>two</w:t>
      </w:r>
      <w:r>
        <w:rPr>
          <w:spacing w:val="20"/>
        </w:rPr>
        <w:t> </w:t>
      </w:r>
      <w:r>
        <w:rPr/>
        <w:t>(2)</w:t>
      </w:r>
      <w:r>
        <w:rPr>
          <w:spacing w:val="20"/>
        </w:rPr>
        <w:t> </w:t>
      </w:r>
      <w:r>
        <w:rPr/>
        <w:t>business</w:t>
      </w:r>
      <w:r>
        <w:rPr>
          <w:spacing w:val="21"/>
        </w:rPr>
        <w:t> </w:t>
      </w:r>
      <w:r>
        <w:rPr/>
        <w:t>days.</w:t>
      </w:r>
    </w:p>
    <w:p>
      <w:pPr>
        <w:spacing w:after="0"/>
        <w:jc w:val="both"/>
        <w:sectPr>
          <w:pgSz w:w="12240" w:h="15840"/>
          <w:pgMar w:header="0" w:footer="1205" w:top="1360" w:bottom="1400" w:left="1320" w:right="1320"/>
        </w:sectPr>
      </w:pPr>
    </w:p>
    <w:p>
      <w:pPr>
        <w:spacing w:before="80"/>
        <w:ind w:left="839" w:right="117" w:firstLine="0"/>
        <w:jc w:val="both"/>
        <w:rPr>
          <w:sz w:val="18"/>
        </w:rPr>
      </w:pPr>
      <w:r>
        <w:rPr>
          <w:sz w:val="18"/>
        </w:rPr>
        <w:t>Any necessary archaeological</w:t>
      </w:r>
      <w:r>
        <w:rPr>
          <w:spacing w:val="-1"/>
          <w:sz w:val="18"/>
        </w:rPr>
        <w:t> </w:t>
      </w:r>
      <w:r>
        <w:rPr>
          <w:sz w:val="18"/>
        </w:rPr>
        <w:t>investigations</w:t>
      </w:r>
      <w:r>
        <w:rPr>
          <w:spacing w:val="-1"/>
          <w:sz w:val="18"/>
        </w:rPr>
        <w:t> </w:t>
      </w:r>
      <w:r>
        <w:rPr>
          <w:sz w:val="18"/>
        </w:rPr>
        <w:t>will be</w:t>
      </w:r>
      <w:r>
        <w:rPr>
          <w:spacing w:val="-1"/>
          <w:sz w:val="18"/>
        </w:rPr>
        <w:t> </w:t>
      </w:r>
      <w:r>
        <w:rPr>
          <w:sz w:val="18"/>
        </w:rPr>
        <w:t>conducted</w:t>
      </w:r>
      <w:r>
        <w:rPr>
          <w:spacing w:val="-1"/>
          <w:sz w:val="18"/>
        </w:rPr>
        <w:t> </w:t>
      </w:r>
      <w:r>
        <w:rPr>
          <w:sz w:val="18"/>
        </w:rPr>
        <w:t>according</w:t>
      </w:r>
      <w:r>
        <w:rPr>
          <w:spacing w:val="-1"/>
          <w:sz w:val="18"/>
        </w:rPr>
        <w:t> </w:t>
      </w:r>
      <w:r>
        <w:rPr>
          <w:sz w:val="18"/>
        </w:rPr>
        <w:t>to</w:t>
      </w:r>
      <w:r>
        <w:rPr>
          <w:spacing w:val="-1"/>
          <w:sz w:val="18"/>
        </w:rPr>
        <w:t> </w:t>
      </w:r>
      <w:r>
        <w:rPr>
          <w:sz w:val="18"/>
        </w:rPr>
        <w:t>the</w:t>
      </w:r>
      <w:r>
        <w:rPr>
          <w:spacing w:val="-1"/>
          <w:sz w:val="18"/>
        </w:rPr>
        <w:t> </w:t>
      </w:r>
      <w:r>
        <w:rPr>
          <w:sz w:val="18"/>
        </w:rPr>
        <w:t>provisions</w:t>
      </w:r>
      <w:r>
        <w:rPr>
          <w:spacing w:val="-1"/>
          <w:sz w:val="18"/>
        </w:rPr>
        <w:t> </w:t>
      </w:r>
      <w:r>
        <w:rPr>
          <w:sz w:val="18"/>
        </w:rPr>
        <w:t>of</w:t>
      </w:r>
      <w:r>
        <w:rPr>
          <w:spacing w:val="-2"/>
          <w:sz w:val="18"/>
        </w:rPr>
        <w:t> </w:t>
      </w:r>
      <w:r>
        <w:rPr>
          <w:sz w:val="18"/>
        </w:rPr>
        <w:t>IC 14-21-1 and 312 IAC 21, and the most current </w:t>
      </w:r>
      <w:r>
        <w:rPr>
          <w:i/>
          <w:sz w:val="18"/>
        </w:rPr>
        <w:t>Guidebook for Indiana Historic Sites and</w:t>
      </w:r>
      <w:r>
        <w:rPr>
          <w:i/>
          <w:sz w:val="18"/>
        </w:rPr>
        <w:t> Structures Inventory – Archaeological Sites</w:t>
      </w:r>
      <w:r>
        <w:rPr>
          <w:sz w:val="18"/>
        </w:rPr>
        <w:t>.</w:t>
      </w:r>
    </w:p>
    <w:p>
      <w:pPr>
        <w:pStyle w:val="BodyText"/>
        <w:spacing w:before="10"/>
        <w:rPr>
          <w:sz w:val="22"/>
        </w:rPr>
      </w:pPr>
    </w:p>
    <w:p>
      <w:pPr>
        <w:pStyle w:val="Heading1"/>
        <w:numPr>
          <w:ilvl w:val="0"/>
          <w:numId w:val="1"/>
        </w:numPr>
        <w:tabs>
          <w:tab w:pos="840" w:val="left" w:leader="none"/>
        </w:tabs>
        <w:spacing w:line="240" w:lineRule="auto" w:before="0" w:after="0"/>
        <w:ind w:left="840" w:right="0" w:hanging="605"/>
        <w:jc w:val="left"/>
        <w:rPr>
          <w:rFonts w:ascii="Arial"/>
        </w:rPr>
      </w:pPr>
      <w:r>
        <w:rPr>
          <w:rFonts w:ascii="Arial"/>
          <w:spacing w:val="-2"/>
        </w:rPr>
        <w:t>AMENDMENT</w:t>
      </w:r>
    </w:p>
    <w:p>
      <w:pPr>
        <w:pStyle w:val="BodyText"/>
        <w:spacing w:before="6"/>
        <w:rPr>
          <w:rFonts w:ascii="Arial"/>
          <w:sz w:val="24"/>
        </w:rPr>
      </w:pPr>
    </w:p>
    <w:p>
      <w:pPr>
        <w:pStyle w:val="BodyText"/>
        <w:ind w:left="840" w:right="116"/>
        <w:jc w:val="both"/>
      </w:pPr>
      <w:r>
        <w:rPr/>
        <w:t>Any</w:t>
      </w:r>
      <w:r>
        <w:rPr>
          <w:spacing w:val="-1"/>
        </w:rPr>
        <w:t> </w:t>
      </w:r>
      <w:r>
        <w:rPr/>
        <w:t>signatory</w:t>
      </w:r>
      <w:r>
        <w:rPr>
          <w:spacing w:val="-1"/>
        </w:rPr>
        <w:t> </w:t>
      </w:r>
      <w:r>
        <w:rPr/>
        <w:t>to</w:t>
      </w:r>
      <w:r>
        <w:rPr>
          <w:spacing w:val="-1"/>
        </w:rPr>
        <w:t> </w:t>
      </w:r>
      <w:r>
        <w:rPr/>
        <w:t>this</w:t>
      </w:r>
      <w:r>
        <w:rPr>
          <w:spacing w:val="-1"/>
        </w:rPr>
        <w:t> </w:t>
      </w:r>
      <w:r>
        <w:rPr/>
        <w:t>memorandum</w:t>
      </w:r>
      <w:r>
        <w:rPr>
          <w:spacing w:val="-1"/>
        </w:rPr>
        <w:t> </w:t>
      </w:r>
      <w:r>
        <w:rPr/>
        <w:t>of</w:t>
      </w:r>
      <w:r>
        <w:rPr>
          <w:spacing w:val="-1"/>
        </w:rPr>
        <w:t> </w:t>
      </w:r>
      <w:r>
        <w:rPr/>
        <w:t>agreement may</w:t>
      </w:r>
      <w:r>
        <w:rPr>
          <w:spacing w:val="-1"/>
        </w:rPr>
        <w:t> </w:t>
      </w:r>
      <w:r>
        <w:rPr/>
        <w:t>request</w:t>
      </w:r>
      <w:r>
        <w:rPr>
          <w:spacing w:val="-1"/>
        </w:rPr>
        <w:t> </w:t>
      </w:r>
      <w:r>
        <w:rPr/>
        <w:t>that</w:t>
      </w:r>
      <w:r>
        <w:rPr>
          <w:spacing w:val="-1"/>
        </w:rPr>
        <w:t> </w:t>
      </w:r>
      <w:r>
        <w:rPr/>
        <w:t>it</w:t>
      </w:r>
      <w:r>
        <w:rPr>
          <w:spacing w:val="-1"/>
        </w:rPr>
        <w:t> </w:t>
      </w:r>
      <w:r>
        <w:rPr/>
        <w:t>be</w:t>
      </w:r>
      <w:r>
        <w:rPr>
          <w:spacing w:val="-1"/>
        </w:rPr>
        <w:t> </w:t>
      </w:r>
      <w:r>
        <w:rPr/>
        <w:t>amended, whereupon the parties shall consult to consider the proposed amendment. 36 C.F.R. 800.6(c)(7) shall govern the execution of any such amendment.</w:t>
      </w:r>
    </w:p>
    <w:p>
      <w:pPr>
        <w:pStyle w:val="BodyText"/>
        <w:spacing w:before="9"/>
        <w:rPr>
          <w:sz w:val="22"/>
        </w:rPr>
      </w:pPr>
    </w:p>
    <w:p>
      <w:pPr>
        <w:pStyle w:val="Heading1"/>
        <w:numPr>
          <w:ilvl w:val="0"/>
          <w:numId w:val="1"/>
        </w:numPr>
        <w:tabs>
          <w:tab w:pos="840" w:val="left" w:leader="none"/>
        </w:tabs>
        <w:spacing w:line="240" w:lineRule="auto" w:before="1" w:after="0"/>
        <w:ind w:left="840" w:right="0" w:hanging="549"/>
        <w:jc w:val="left"/>
        <w:rPr>
          <w:rFonts w:ascii="Arial"/>
        </w:rPr>
      </w:pPr>
      <w:r>
        <w:rPr>
          <w:rFonts w:ascii="Arial"/>
          <w:spacing w:val="-2"/>
        </w:rPr>
        <w:t>TERMINATION</w:t>
      </w:r>
    </w:p>
    <w:p>
      <w:pPr>
        <w:pStyle w:val="BodyText"/>
        <w:spacing w:before="3"/>
        <w:rPr>
          <w:rFonts w:ascii="Arial"/>
          <w:sz w:val="20"/>
        </w:rPr>
      </w:pPr>
    </w:p>
    <w:p>
      <w:pPr>
        <w:pStyle w:val="ListParagraph"/>
        <w:numPr>
          <w:ilvl w:val="0"/>
          <w:numId w:val="2"/>
        </w:numPr>
        <w:tabs>
          <w:tab w:pos="1557" w:val="left" w:leader="none"/>
          <w:tab w:pos="1559" w:val="left" w:leader="none"/>
        </w:tabs>
        <w:spacing w:line="240" w:lineRule="auto" w:before="1" w:after="0"/>
        <w:ind w:left="1559" w:right="116" w:hanging="360"/>
        <w:jc w:val="both"/>
        <w:rPr>
          <w:sz w:val="18"/>
        </w:rPr>
      </w:pPr>
      <w:r>
        <w:rPr>
          <w:sz w:val="18"/>
        </w:rPr>
        <w:t>If the replacement of Bridge No. 2 has not commenced within five years of the signing of this memorandum of agreement, or if the rehabilitation of Bridge No. 36 pursuant</w:t>
      </w:r>
      <w:r>
        <w:rPr>
          <w:spacing w:val="80"/>
          <w:sz w:val="18"/>
        </w:rPr>
        <w:t> </w:t>
      </w:r>
      <w:r>
        <w:rPr>
          <w:sz w:val="18"/>
        </w:rPr>
        <w:t>to Stipulation I.I. has not commenced within five years of the opening to traffic of the bridge that replaces Bridge No. 2, then this memorandum of agreement shall be considered null and void.</w:t>
      </w:r>
      <w:r>
        <w:rPr>
          <w:spacing w:val="-1"/>
          <w:sz w:val="18"/>
        </w:rPr>
        <w:t> </w:t>
      </w:r>
      <w:r>
        <w:rPr>
          <w:sz w:val="18"/>
        </w:rPr>
        <w:t>In such an event, the FHWA shall so</w:t>
      </w:r>
      <w:r>
        <w:rPr>
          <w:spacing w:val="-1"/>
          <w:sz w:val="18"/>
        </w:rPr>
        <w:t> </w:t>
      </w:r>
      <w:r>
        <w:rPr>
          <w:sz w:val="18"/>
        </w:rPr>
        <w:t>notify the parties to this memorandum of agreement and, if it chooses to continue with the replacement of</w:t>
      </w:r>
      <w:r>
        <w:rPr>
          <w:spacing w:val="40"/>
          <w:sz w:val="18"/>
        </w:rPr>
        <w:t> </w:t>
      </w:r>
      <w:r>
        <w:rPr>
          <w:sz w:val="18"/>
        </w:rPr>
        <w:t>Lake County Bridge No. 2, then it shall resume consultation with the other consulting parties on developing a new memorandum of agreement or request the comments of the Council, pursuant to 36 CFR Part 800.</w:t>
      </w:r>
    </w:p>
    <w:p>
      <w:pPr>
        <w:pStyle w:val="ListParagraph"/>
        <w:numPr>
          <w:ilvl w:val="0"/>
          <w:numId w:val="2"/>
        </w:numPr>
        <w:tabs>
          <w:tab w:pos="1558" w:val="left" w:leader="none"/>
        </w:tabs>
        <w:spacing w:line="218" w:lineRule="exact" w:before="0" w:after="0"/>
        <w:ind w:left="1558" w:right="0" w:hanging="359"/>
        <w:jc w:val="both"/>
        <w:rPr>
          <w:sz w:val="18"/>
        </w:rPr>
      </w:pPr>
      <w:r>
        <w:rPr>
          <w:sz w:val="18"/>
        </w:rPr>
        <w:t>Any</w:t>
      </w:r>
      <w:r>
        <w:rPr>
          <w:spacing w:val="8"/>
          <w:sz w:val="18"/>
        </w:rPr>
        <w:t> </w:t>
      </w:r>
      <w:r>
        <w:rPr>
          <w:sz w:val="18"/>
        </w:rPr>
        <w:t>signatory</w:t>
      </w:r>
      <w:r>
        <w:rPr>
          <w:spacing w:val="9"/>
          <w:sz w:val="18"/>
        </w:rPr>
        <w:t> </w:t>
      </w:r>
      <w:r>
        <w:rPr>
          <w:sz w:val="18"/>
        </w:rPr>
        <w:t>to</w:t>
      </w:r>
      <w:r>
        <w:rPr>
          <w:spacing w:val="9"/>
          <w:sz w:val="18"/>
        </w:rPr>
        <w:t> </w:t>
      </w:r>
      <w:r>
        <w:rPr>
          <w:sz w:val="18"/>
        </w:rPr>
        <w:t>the</w:t>
      </w:r>
      <w:r>
        <w:rPr>
          <w:spacing w:val="9"/>
          <w:sz w:val="18"/>
        </w:rPr>
        <w:t> </w:t>
      </w:r>
      <w:r>
        <w:rPr>
          <w:sz w:val="18"/>
        </w:rPr>
        <w:t>memorandum</w:t>
      </w:r>
      <w:r>
        <w:rPr>
          <w:spacing w:val="9"/>
          <w:sz w:val="18"/>
        </w:rPr>
        <w:t> </w:t>
      </w:r>
      <w:r>
        <w:rPr>
          <w:sz w:val="18"/>
        </w:rPr>
        <w:t>of</w:t>
      </w:r>
      <w:r>
        <w:rPr>
          <w:spacing w:val="9"/>
          <w:sz w:val="18"/>
        </w:rPr>
        <w:t> </w:t>
      </w:r>
      <w:r>
        <w:rPr>
          <w:sz w:val="18"/>
        </w:rPr>
        <w:t>agreement</w:t>
      </w:r>
      <w:r>
        <w:rPr>
          <w:spacing w:val="9"/>
          <w:sz w:val="18"/>
        </w:rPr>
        <w:t> </w:t>
      </w:r>
      <w:r>
        <w:rPr>
          <w:sz w:val="18"/>
        </w:rPr>
        <w:t>may</w:t>
      </w:r>
      <w:r>
        <w:rPr>
          <w:spacing w:val="10"/>
          <w:sz w:val="18"/>
        </w:rPr>
        <w:t> </w:t>
      </w:r>
      <w:r>
        <w:rPr>
          <w:sz w:val="18"/>
        </w:rPr>
        <w:t>terminate</w:t>
      </w:r>
      <w:r>
        <w:rPr>
          <w:spacing w:val="8"/>
          <w:sz w:val="18"/>
        </w:rPr>
        <w:t> </w:t>
      </w:r>
      <w:r>
        <w:rPr>
          <w:sz w:val="18"/>
        </w:rPr>
        <w:t>it</w:t>
      </w:r>
      <w:r>
        <w:rPr>
          <w:spacing w:val="9"/>
          <w:sz w:val="18"/>
        </w:rPr>
        <w:t> </w:t>
      </w:r>
      <w:r>
        <w:rPr>
          <w:sz w:val="18"/>
        </w:rPr>
        <w:t>by</w:t>
      </w:r>
      <w:r>
        <w:rPr>
          <w:spacing w:val="9"/>
          <w:sz w:val="18"/>
        </w:rPr>
        <w:t> </w:t>
      </w:r>
      <w:r>
        <w:rPr>
          <w:sz w:val="18"/>
        </w:rPr>
        <w:t>providing</w:t>
      </w:r>
      <w:r>
        <w:rPr>
          <w:spacing w:val="8"/>
          <w:sz w:val="18"/>
        </w:rPr>
        <w:t> </w:t>
      </w:r>
      <w:r>
        <w:rPr>
          <w:spacing w:val="-2"/>
          <w:sz w:val="18"/>
        </w:rPr>
        <w:t>thirty</w:t>
      </w:r>
    </w:p>
    <w:p>
      <w:pPr>
        <w:pStyle w:val="BodyText"/>
        <w:ind w:left="1559" w:right="116"/>
        <w:jc w:val="both"/>
      </w:pPr>
      <w:r>
        <w:rPr/>
        <w:t>(30) days notice to the other parties, provided that the parties shall consult during the period prior to termination to seek agreement on amendments or other actions that would avoid termination. In the event of termination, the FHWA shall comply with 36</w:t>
      </w:r>
    </w:p>
    <w:p>
      <w:pPr>
        <w:pStyle w:val="BodyText"/>
        <w:ind w:left="1559" w:right="119"/>
        <w:jc w:val="both"/>
      </w:pPr>
      <w:r>
        <w:rPr/>
        <w:t>C.F.R. Sections 800.3 through 800.7 with regard to the review of the replacement of Lake County Bridge No. 2.</w:t>
      </w:r>
    </w:p>
    <w:p>
      <w:pPr>
        <w:pStyle w:val="ListParagraph"/>
        <w:numPr>
          <w:ilvl w:val="0"/>
          <w:numId w:val="2"/>
        </w:numPr>
        <w:tabs>
          <w:tab w:pos="1559" w:val="left" w:leader="none"/>
        </w:tabs>
        <w:spacing w:line="240" w:lineRule="auto" w:before="0" w:after="0"/>
        <w:ind w:left="1559" w:right="117" w:hanging="360"/>
        <w:jc w:val="both"/>
        <w:rPr>
          <w:sz w:val="18"/>
        </w:rPr>
      </w:pPr>
      <w:r>
        <w:rPr>
          <w:sz w:val="18"/>
        </w:rPr>
        <w:t>In the event that the FHWA does not carry out the terms of this memorandum of agreement, the FHWA shall comply with 36 C.F.R. Sections 800.3 through 800.7 with regard to the review of the replacement of Lake County Bridge No. 2.</w:t>
      </w:r>
    </w:p>
    <w:p>
      <w:pPr>
        <w:pStyle w:val="BodyText"/>
        <w:rPr>
          <w:sz w:val="23"/>
        </w:rPr>
      </w:pPr>
    </w:p>
    <w:p>
      <w:pPr>
        <w:pStyle w:val="BodyText"/>
        <w:ind w:left="119" w:right="117"/>
        <w:jc w:val="both"/>
      </w:pPr>
      <w:r>
        <w:rPr/>
        <w:t>The execution of this memorandum of agreement by the FWHA, INDOT, Lake County Board of Commissioners, Kankakee County Board, and Indiana SHPO, the submission of it to the Council </w:t>
      </w:r>
      <w:r>
        <w:rPr/>
        <w:t>with the appropriate documentation specified in 36 C.F.R. Section 800.11(e) and (f), and the implementation of its terms evidence that the FHWA has afforded the Council an opportunity to comment</w:t>
      </w:r>
      <w:r>
        <w:rPr>
          <w:spacing w:val="-2"/>
        </w:rPr>
        <w:t> </w:t>
      </w:r>
      <w:r>
        <w:rPr/>
        <w:t>on</w:t>
      </w:r>
      <w:r>
        <w:rPr>
          <w:spacing w:val="-1"/>
        </w:rPr>
        <w:t> </w:t>
      </w:r>
      <w:r>
        <w:rPr/>
        <w:t>the</w:t>
      </w:r>
      <w:r>
        <w:rPr>
          <w:spacing w:val="-2"/>
        </w:rPr>
        <w:t> </w:t>
      </w:r>
      <w:r>
        <w:rPr/>
        <w:t>replacement</w:t>
      </w:r>
      <w:r>
        <w:rPr>
          <w:spacing w:val="-2"/>
        </w:rPr>
        <w:t> </w:t>
      </w:r>
      <w:r>
        <w:rPr/>
        <w:t>of</w:t>
      </w:r>
      <w:r>
        <w:rPr>
          <w:spacing w:val="-2"/>
        </w:rPr>
        <w:t> </w:t>
      </w:r>
      <w:r>
        <w:rPr/>
        <w:t>Lake</w:t>
      </w:r>
      <w:r>
        <w:rPr>
          <w:spacing w:val="-2"/>
        </w:rPr>
        <w:t> </w:t>
      </w:r>
      <w:r>
        <w:rPr/>
        <w:t>County</w:t>
      </w:r>
      <w:r>
        <w:rPr>
          <w:spacing w:val="-2"/>
        </w:rPr>
        <w:t> </w:t>
      </w:r>
      <w:r>
        <w:rPr/>
        <w:t>Bridge</w:t>
      </w:r>
      <w:r>
        <w:rPr>
          <w:spacing w:val="-1"/>
        </w:rPr>
        <w:t> </w:t>
      </w:r>
      <w:r>
        <w:rPr/>
        <w:t>No.</w:t>
      </w:r>
      <w:r>
        <w:rPr>
          <w:spacing w:val="-2"/>
        </w:rPr>
        <w:t> </w:t>
      </w:r>
      <w:r>
        <w:rPr/>
        <w:t>2</w:t>
      </w:r>
      <w:r>
        <w:rPr>
          <w:spacing w:val="-2"/>
        </w:rPr>
        <w:t> </w:t>
      </w:r>
      <w:r>
        <w:rPr/>
        <w:t>and</w:t>
      </w:r>
      <w:r>
        <w:rPr>
          <w:spacing w:val="-1"/>
        </w:rPr>
        <w:t> </w:t>
      </w:r>
      <w:r>
        <w:rPr/>
        <w:t>its</w:t>
      </w:r>
      <w:r>
        <w:rPr>
          <w:spacing w:val="-2"/>
        </w:rPr>
        <w:t> </w:t>
      </w:r>
      <w:r>
        <w:rPr/>
        <w:t>effect</w:t>
      </w:r>
      <w:r>
        <w:rPr>
          <w:spacing w:val="-2"/>
        </w:rPr>
        <w:t> </w:t>
      </w:r>
      <w:r>
        <w:rPr/>
        <w:t>on</w:t>
      </w:r>
      <w:r>
        <w:rPr>
          <w:spacing w:val="-1"/>
        </w:rPr>
        <w:t> </w:t>
      </w:r>
      <w:r>
        <w:rPr/>
        <w:t>historic</w:t>
      </w:r>
      <w:r>
        <w:rPr>
          <w:spacing w:val="-2"/>
        </w:rPr>
        <w:t> </w:t>
      </w:r>
      <w:r>
        <w:rPr/>
        <w:t>properties</w:t>
      </w:r>
      <w:r>
        <w:rPr>
          <w:spacing w:val="-2"/>
        </w:rPr>
        <w:t> </w:t>
      </w:r>
      <w:r>
        <w:rPr/>
        <w:t>and</w:t>
      </w:r>
      <w:r>
        <w:rPr>
          <w:spacing w:val="-1"/>
        </w:rPr>
        <w:t> </w:t>
      </w:r>
      <w:r>
        <w:rPr/>
        <w:t>that the FHWA has taken into account the effects of the replacement of Lake County Bridge No. 2 on historic properties.</w:t>
      </w:r>
    </w:p>
    <w:p>
      <w:pPr>
        <w:spacing w:after="0"/>
        <w:jc w:val="both"/>
        <w:sectPr>
          <w:pgSz w:w="12240" w:h="15840"/>
          <w:pgMar w:header="0" w:footer="1205" w:top="1360" w:bottom="1400" w:left="1320" w:right="1320"/>
        </w:sectPr>
      </w:pPr>
    </w:p>
    <w:p>
      <w:pPr>
        <w:pStyle w:val="BodyText"/>
        <w:ind w:left="109"/>
        <w:rPr>
          <w:sz w:val="20"/>
        </w:rPr>
      </w:pPr>
      <w:r>
        <w:rPr>
          <w:sz w:val="20"/>
        </w:rPr>
        <w:drawing>
          <wp:inline distT="0" distB="0" distL="0" distR="0">
            <wp:extent cx="5864622" cy="9758172"/>
            <wp:effectExtent l="0" t="0" r="0" b="0"/>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5864622" cy="9758172"/>
                    </a:xfrm>
                    <a:prstGeom prst="rect">
                      <a:avLst/>
                    </a:prstGeom>
                  </pic:spPr>
                </pic:pic>
              </a:graphicData>
            </a:graphic>
          </wp:inline>
        </w:drawing>
      </w:r>
      <w:r>
        <w:rPr>
          <w:sz w:val="20"/>
        </w:rPr>
      </w:r>
    </w:p>
    <w:p>
      <w:pPr>
        <w:spacing w:after="0"/>
        <w:rPr>
          <w:sz w:val="20"/>
        </w:rPr>
        <w:sectPr>
          <w:footerReference w:type="default" r:id="rId6"/>
          <w:pgSz w:w="12230" w:h="15830"/>
          <w:pgMar w:footer="0" w:header="0" w:top="40" w:bottom="280" w:left="1540" w:right="1220"/>
        </w:sectPr>
      </w:pPr>
    </w:p>
    <w:p>
      <w:pPr>
        <w:pStyle w:val="BodyText"/>
        <w:ind w:left="38"/>
        <w:rPr>
          <w:sz w:val="20"/>
        </w:rPr>
      </w:pPr>
      <w:r>
        <w:rPr>
          <w:sz w:val="20"/>
        </w:rPr>
        <w:drawing>
          <wp:inline distT="0" distB="0" distL="0" distR="0">
            <wp:extent cx="7505890" cy="9711594"/>
            <wp:effectExtent l="0" t="0" r="0" b="0"/>
            <wp:docPr id="3" name="Image 3"/>
            <wp:cNvGraphicFramePr>
              <a:graphicFrameLocks/>
            </wp:cNvGraphicFramePr>
            <a:graphic>
              <a:graphicData uri="http://schemas.openxmlformats.org/drawingml/2006/picture">
                <pic:pic>
                  <pic:nvPicPr>
                    <pic:cNvPr id="3" name="Image 3"/>
                    <pic:cNvPicPr/>
                  </pic:nvPicPr>
                  <pic:blipFill>
                    <a:blip r:embed="rId9" cstate="print"/>
                    <a:stretch>
                      <a:fillRect/>
                    </a:stretch>
                  </pic:blipFill>
                  <pic:spPr>
                    <a:xfrm>
                      <a:off x="0" y="0"/>
                      <a:ext cx="7505890" cy="9711594"/>
                    </a:xfrm>
                    <a:prstGeom prst="rect">
                      <a:avLst/>
                    </a:prstGeom>
                  </pic:spPr>
                </pic:pic>
              </a:graphicData>
            </a:graphic>
          </wp:inline>
        </w:drawing>
      </w:r>
      <w:r>
        <w:rPr>
          <w:sz w:val="20"/>
        </w:rPr>
      </w:r>
    </w:p>
    <w:p>
      <w:pPr>
        <w:spacing w:after="0"/>
        <w:rPr>
          <w:sz w:val="20"/>
        </w:rPr>
        <w:sectPr>
          <w:footerReference w:type="default" r:id="rId8"/>
          <w:pgSz w:w="12240" w:h="15840"/>
          <w:pgMar w:footer="0" w:header="0" w:top="20" w:bottom="0" w:left="0" w:right="0"/>
        </w:sectPr>
      </w:pPr>
    </w:p>
    <w:p>
      <w:pPr>
        <w:pStyle w:val="BodyText"/>
        <w:spacing w:before="5"/>
        <w:rPr>
          <w:sz w:val="16"/>
        </w:rPr>
      </w:pPr>
      <w:r>
        <w:rPr/>
        <w:drawing>
          <wp:anchor distT="0" distB="0" distL="0" distR="0" allowOverlap="1" layoutInCell="1" locked="0" behindDoc="0" simplePos="0" relativeHeight="15728640">
            <wp:simplePos x="0" y="0"/>
            <wp:positionH relativeFrom="page">
              <wp:posOffset>3047</wp:posOffset>
            </wp:positionH>
            <wp:positionV relativeFrom="page">
              <wp:posOffset>109728</wp:posOffset>
            </wp:positionV>
            <wp:extent cx="6309360" cy="9942576"/>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1" cstate="print"/>
                    <a:stretch>
                      <a:fillRect/>
                    </a:stretch>
                  </pic:blipFill>
                  <pic:spPr>
                    <a:xfrm>
                      <a:off x="0" y="0"/>
                      <a:ext cx="6309360" cy="9942576"/>
                    </a:xfrm>
                    <a:prstGeom prst="rect">
                      <a:avLst/>
                    </a:prstGeom>
                  </pic:spPr>
                </pic:pic>
              </a:graphicData>
            </a:graphic>
          </wp:anchor>
        </w:drawing>
      </w:r>
    </w:p>
    <w:p>
      <w:pPr>
        <w:spacing w:after="0"/>
        <w:rPr>
          <w:sz w:val="16"/>
        </w:rPr>
        <w:sectPr>
          <w:footerReference w:type="default" r:id="rId10"/>
          <w:pgSz w:w="12240" w:h="15840"/>
          <w:pgMar w:footer="0" w:header="0" w:top="1820" w:bottom="280" w:left="0" w:right="0"/>
        </w:sectPr>
      </w:pPr>
    </w:p>
    <w:p>
      <w:pPr>
        <w:pStyle w:val="BodyText"/>
        <w:spacing w:before="5"/>
        <w:rPr>
          <w:sz w:val="16"/>
        </w:rPr>
      </w:pPr>
      <w:r>
        <w:rPr/>
        <mc:AlternateContent>
          <mc:Choice Requires="wps">
            <w:drawing>
              <wp:anchor distT="0" distB="0" distL="0" distR="0" allowOverlap="1" layoutInCell="1" locked="0" behindDoc="0" simplePos="0" relativeHeight="15729152">
                <wp:simplePos x="0" y="0"/>
                <wp:positionH relativeFrom="page">
                  <wp:posOffset>73149</wp:posOffset>
                </wp:positionH>
                <wp:positionV relativeFrom="page">
                  <wp:posOffset>36348</wp:posOffset>
                </wp:positionV>
                <wp:extent cx="7640320" cy="989711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7640320" cy="9897110"/>
                          <a:chExt cx="7640320" cy="9897110"/>
                        </a:xfrm>
                      </wpg:grpSpPr>
                      <pic:pic>
                        <pic:nvPicPr>
                          <pic:cNvPr id="6" name="Image 6"/>
                          <pic:cNvPicPr/>
                        </pic:nvPicPr>
                        <pic:blipFill>
                          <a:blip r:embed="rId13" cstate="print"/>
                          <a:stretch>
                            <a:fillRect/>
                          </a:stretch>
                        </pic:blipFill>
                        <pic:spPr>
                          <a:xfrm>
                            <a:off x="0" y="28422"/>
                            <a:ext cx="7640196" cy="9868332"/>
                          </a:xfrm>
                          <a:prstGeom prst="rect">
                            <a:avLst/>
                          </a:prstGeom>
                        </pic:spPr>
                      </pic:pic>
                      <wps:wsp>
                        <wps:cNvPr id="7" name="Graphic 7"/>
                        <wps:cNvSpPr/>
                        <wps:spPr>
                          <a:xfrm>
                            <a:off x="225699" y="0"/>
                            <a:ext cx="7225030" cy="205104"/>
                          </a:xfrm>
                          <a:custGeom>
                            <a:avLst/>
                            <a:gdLst/>
                            <a:ahLst/>
                            <a:cxnLst/>
                            <a:rect l="l" t="t" r="r" b="b"/>
                            <a:pathLst>
                              <a:path w="7225030" h="205104">
                                <a:moveTo>
                                  <a:pt x="7224754" y="0"/>
                                </a:moveTo>
                                <a:lnTo>
                                  <a:pt x="0" y="0"/>
                                </a:lnTo>
                                <a:lnTo>
                                  <a:pt x="0" y="204798"/>
                                </a:lnTo>
                                <a:lnTo>
                                  <a:pt x="7224754" y="204798"/>
                                </a:lnTo>
                                <a:lnTo>
                                  <a:pt x="722475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5.759779pt;margin-top:2.8621pt;width:601.6pt;height:779.3pt;mso-position-horizontal-relative:page;mso-position-vertical-relative:page;z-index:15729152" id="docshapegroup2" coordorigin="115,57" coordsize="12032,15586">
                <v:shape style="position:absolute;left:115;top:102;width:12032;height:15541" type="#_x0000_t75" id="docshape3" stroked="false">
                  <v:imagedata r:id="rId13" o:title=""/>
                </v:shape>
                <v:rect style="position:absolute;left:470;top:57;width:11378;height:323" id="docshape4" filled="true" fillcolor="#ffffff" stroked="false">
                  <v:fill type="solid"/>
                </v:rect>
                <w10:wrap type="none"/>
              </v:group>
            </w:pict>
          </mc:Fallback>
        </mc:AlternateContent>
      </w:r>
    </w:p>
    <w:p>
      <w:pPr>
        <w:spacing w:after="0"/>
        <w:rPr>
          <w:sz w:val="16"/>
        </w:rPr>
        <w:sectPr>
          <w:footerReference w:type="default" r:id="rId12"/>
          <w:pgSz w:w="12240" w:h="15840"/>
          <w:pgMar w:footer="0" w:header="0" w:top="1820" w:bottom="280" w:left="0" w:right="0"/>
        </w:sectPr>
      </w:pPr>
    </w:p>
    <w:p>
      <w:pPr>
        <w:pStyle w:val="BodyText"/>
        <w:spacing w:before="5"/>
        <w:rPr>
          <w:sz w:val="16"/>
        </w:rPr>
      </w:pPr>
      <w:r>
        <w:rPr/>
        <w:drawing>
          <wp:anchor distT="0" distB="0" distL="0" distR="0" allowOverlap="1" layoutInCell="1" locked="0" behindDoc="0" simplePos="0" relativeHeight="15729664">
            <wp:simplePos x="0" y="0"/>
            <wp:positionH relativeFrom="page">
              <wp:posOffset>176784</wp:posOffset>
            </wp:positionH>
            <wp:positionV relativeFrom="page">
              <wp:posOffset>0</wp:posOffset>
            </wp:positionV>
            <wp:extent cx="7595616" cy="1003973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5" cstate="print"/>
                    <a:stretch>
                      <a:fillRect/>
                    </a:stretch>
                  </pic:blipFill>
                  <pic:spPr>
                    <a:xfrm>
                      <a:off x="0" y="0"/>
                      <a:ext cx="7595616" cy="10039731"/>
                    </a:xfrm>
                    <a:prstGeom prst="rect">
                      <a:avLst/>
                    </a:prstGeom>
                  </pic:spPr>
                </pic:pic>
              </a:graphicData>
            </a:graphic>
          </wp:anchor>
        </w:drawing>
      </w:r>
    </w:p>
    <w:sectPr>
      <w:footerReference w:type="default" r:id="rId14"/>
      <w:pgSz w:w="12240" w:h="15840"/>
      <w:pgMar w:footer="0" w:header="0" w:top="18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9264">
              <wp:simplePos x="0" y="0"/>
              <wp:positionH relativeFrom="page">
                <wp:posOffset>1639355</wp:posOffset>
              </wp:positionH>
              <wp:positionV relativeFrom="page">
                <wp:posOffset>9153538</wp:posOffset>
              </wp:positionV>
              <wp:extent cx="4493895" cy="4584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493895" cy="458470"/>
                      </a:xfrm>
                      <a:prstGeom prst="rect">
                        <a:avLst/>
                      </a:prstGeom>
                    </wps:spPr>
                    <wps:txbx>
                      <w:txbxContent>
                        <w:p>
                          <w:pPr>
                            <w:spacing w:before="12"/>
                            <w:ind w:left="20" w:right="20" w:firstLine="0"/>
                            <w:jc w:val="center"/>
                            <w:rPr>
                              <w:rFonts w:ascii="Times New Roman"/>
                              <w:sz w:val="20"/>
                            </w:rPr>
                          </w:pPr>
                          <w:r>
                            <w:rPr>
                              <w:rFonts w:ascii="Times New Roman"/>
                              <w:sz w:val="20"/>
                            </w:rPr>
                            <w:t>Memorandum</w:t>
                          </w:r>
                          <w:r>
                            <w:rPr>
                              <w:rFonts w:ascii="Times New Roman"/>
                              <w:spacing w:val="-4"/>
                              <w:sz w:val="20"/>
                            </w:rPr>
                            <w:t> </w:t>
                          </w:r>
                          <w:r>
                            <w:rPr>
                              <w:rFonts w:ascii="Times New Roman"/>
                              <w:sz w:val="20"/>
                            </w:rPr>
                            <w:t>of</w:t>
                          </w:r>
                          <w:r>
                            <w:rPr>
                              <w:rFonts w:ascii="Times New Roman"/>
                              <w:spacing w:val="-3"/>
                              <w:sz w:val="20"/>
                            </w:rPr>
                            <w:t> </w:t>
                          </w:r>
                          <w:r>
                            <w:rPr>
                              <w:rFonts w:ascii="Times New Roman"/>
                              <w:spacing w:val="-2"/>
                              <w:sz w:val="20"/>
                            </w:rPr>
                            <w:t>Agreement</w:t>
                          </w:r>
                        </w:p>
                        <w:p>
                          <w:pPr>
                            <w:spacing w:before="0"/>
                            <w:ind w:left="22" w:right="20" w:firstLine="0"/>
                            <w:jc w:val="center"/>
                            <w:rPr>
                              <w:rFonts w:ascii="Times New Roman" w:hAnsi="Times New Roman"/>
                              <w:sz w:val="20"/>
                            </w:rPr>
                          </w:pPr>
                          <w:r>
                            <w:rPr>
                              <w:rFonts w:ascii="Times New Roman" w:hAnsi="Times New Roman"/>
                              <w:sz w:val="20"/>
                            </w:rPr>
                            <w:t>Replacement</w:t>
                          </w:r>
                          <w:r>
                            <w:rPr>
                              <w:rFonts w:ascii="Times New Roman" w:hAnsi="Times New Roman"/>
                              <w:spacing w:val="-3"/>
                              <w:sz w:val="20"/>
                            </w:rPr>
                            <w:t> </w:t>
                          </w:r>
                          <w:r>
                            <w:rPr>
                              <w:rFonts w:ascii="Times New Roman" w:hAnsi="Times New Roman"/>
                              <w:sz w:val="20"/>
                            </w:rPr>
                            <w:t>of</w:t>
                          </w:r>
                          <w:r>
                            <w:rPr>
                              <w:rFonts w:ascii="Times New Roman" w:hAnsi="Times New Roman"/>
                              <w:spacing w:val="-3"/>
                              <w:sz w:val="20"/>
                            </w:rPr>
                            <w:t> </w:t>
                          </w:r>
                          <w:r>
                            <w:rPr>
                              <w:rFonts w:ascii="Times New Roman" w:hAnsi="Times New Roman"/>
                              <w:sz w:val="20"/>
                            </w:rPr>
                            <w:t>Lake</w:t>
                          </w:r>
                          <w:r>
                            <w:rPr>
                              <w:rFonts w:ascii="Times New Roman" w:hAnsi="Times New Roman"/>
                              <w:spacing w:val="-3"/>
                              <w:sz w:val="20"/>
                            </w:rPr>
                            <w:t> </w:t>
                          </w:r>
                          <w:r>
                            <w:rPr>
                              <w:rFonts w:ascii="Times New Roman" w:hAnsi="Times New Roman"/>
                              <w:sz w:val="20"/>
                            </w:rPr>
                            <w:t>County</w:t>
                          </w:r>
                          <w:r>
                            <w:rPr>
                              <w:rFonts w:ascii="Times New Roman" w:hAnsi="Times New Roman"/>
                              <w:spacing w:val="-4"/>
                              <w:sz w:val="20"/>
                            </w:rPr>
                            <w:t> </w:t>
                          </w:r>
                          <w:r>
                            <w:rPr>
                              <w:rFonts w:ascii="Times New Roman" w:hAnsi="Times New Roman"/>
                              <w:sz w:val="20"/>
                            </w:rPr>
                            <w:t>Bridge</w:t>
                          </w:r>
                          <w:r>
                            <w:rPr>
                              <w:rFonts w:ascii="Times New Roman" w:hAnsi="Times New Roman"/>
                              <w:spacing w:val="-3"/>
                              <w:sz w:val="20"/>
                            </w:rPr>
                            <w:t> </w:t>
                          </w:r>
                          <w:r>
                            <w:rPr>
                              <w:rFonts w:ascii="Times New Roman" w:hAnsi="Times New Roman"/>
                              <w:sz w:val="20"/>
                            </w:rPr>
                            <w:t>No.</w:t>
                          </w:r>
                          <w:r>
                            <w:rPr>
                              <w:rFonts w:ascii="Times New Roman" w:hAnsi="Times New Roman"/>
                              <w:spacing w:val="-3"/>
                              <w:sz w:val="20"/>
                            </w:rPr>
                            <w:t> </w:t>
                          </w:r>
                          <w:r>
                            <w:rPr>
                              <w:rFonts w:ascii="Times New Roman" w:hAnsi="Times New Roman"/>
                              <w:sz w:val="20"/>
                            </w:rPr>
                            <w:t>2</w:t>
                          </w:r>
                          <w:r>
                            <w:rPr>
                              <w:rFonts w:ascii="Times New Roman" w:hAnsi="Times New Roman"/>
                              <w:spacing w:val="-3"/>
                              <w:sz w:val="20"/>
                            </w:rPr>
                            <w:t> </w:t>
                          </w:r>
                          <w:r>
                            <w:rPr>
                              <w:rFonts w:ascii="Times New Roman" w:hAnsi="Times New Roman"/>
                              <w:sz w:val="20"/>
                            </w:rPr>
                            <w:t>over</w:t>
                          </w:r>
                          <w:r>
                            <w:rPr>
                              <w:rFonts w:ascii="Times New Roman" w:hAnsi="Times New Roman"/>
                              <w:spacing w:val="-3"/>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Kankakee</w:t>
                          </w:r>
                          <w:r>
                            <w:rPr>
                              <w:rFonts w:ascii="Times New Roman" w:hAnsi="Times New Roman"/>
                              <w:spacing w:val="-3"/>
                              <w:sz w:val="20"/>
                            </w:rPr>
                            <w:t> </w:t>
                          </w:r>
                          <w:r>
                            <w:rPr>
                              <w:rFonts w:ascii="Times New Roman" w:hAnsi="Times New Roman"/>
                              <w:sz w:val="20"/>
                            </w:rPr>
                            <w:t>River,</w:t>
                          </w:r>
                          <w:r>
                            <w:rPr>
                              <w:rFonts w:ascii="Times New Roman" w:hAnsi="Times New Roman"/>
                              <w:spacing w:val="-3"/>
                              <w:sz w:val="20"/>
                            </w:rPr>
                            <w:t> </w:t>
                          </w:r>
                          <w:r>
                            <w:rPr>
                              <w:rFonts w:ascii="Times New Roman" w:hAnsi="Times New Roman"/>
                              <w:sz w:val="20"/>
                            </w:rPr>
                            <w:t>Des.</w:t>
                          </w:r>
                          <w:r>
                            <w:rPr>
                              <w:rFonts w:ascii="Times New Roman" w:hAnsi="Times New Roman"/>
                              <w:spacing w:val="-4"/>
                              <w:sz w:val="20"/>
                            </w:rPr>
                            <w:t> </w:t>
                          </w:r>
                          <w:r>
                            <w:rPr>
                              <w:rFonts w:ascii="Times New Roman" w:hAnsi="Times New Roman"/>
                              <w:sz w:val="20"/>
                            </w:rPr>
                            <w:t>No.</w:t>
                          </w:r>
                          <w:r>
                            <w:rPr>
                              <w:rFonts w:ascii="Times New Roman" w:hAnsi="Times New Roman"/>
                              <w:spacing w:val="-4"/>
                              <w:sz w:val="20"/>
                            </w:rPr>
                            <w:t> </w:t>
                          </w:r>
                          <w:r>
                            <w:rPr>
                              <w:rFonts w:ascii="Times New Roman" w:hAnsi="Times New Roman"/>
                              <w:sz w:val="20"/>
                            </w:rPr>
                            <w:t>9982620 Final Version – January 11, 2010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9.083115pt;margin-top:720.751038pt;width:353.85pt;height:36.1pt;mso-position-horizontal-relative:page;mso-position-vertical-relative:page;z-index:-15817216" type="#_x0000_t202" id="docshape1" filled="false" stroked="false">
              <v:textbox inset="0,0,0,0">
                <w:txbxContent>
                  <w:p>
                    <w:pPr>
                      <w:spacing w:before="12"/>
                      <w:ind w:left="20" w:right="20" w:firstLine="0"/>
                      <w:jc w:val="center"/>
                      <w:rPr>
                        <w:rFonts w:ascii="Times New Roman"/>
                        <w:sz w:val="20"/>
                      </w:rPr>
                    </w:pPr>
                    <w:r>
                      <w:rPr>
                        <w:rFonts w:ascii="Times New Roman"/>
                        <w:sz w:val="20"/>
                      </w:rPr>
                      <w:t>Memorandum</w:t>
                    </w:r>
                    <w:r>
                      <w:rPr>
                        <w:rFonts w:ascii="Times New Roman"/>
                        <w:spacing w:val="-4"/>
                        <w:sz w:val="20"/>
                      </w:rPr>
                      <w:t> </w:t>
                    </w:r>
                    <w:r>
                      <w:rPr>
                        <w:rFonts w:ascii="Times New Roman"/>
                        <w:sz w:val="20"/>
                      </w:rPr>
                      <w:t>of</w:t>
                    </w:r>
                    <w:r>
                      <w:rPr>
                        <w:rFonts w:ascii="Times New Roman"/>
                        <w:spacing w:val="-3"/>
                        <w:sz w:val="20"/>
                      </w:rPr>
                      <w:t> </w:t>
                    </w:r>
                    <w:r>
                      <w:rPr>
                        <w:rFonts w:ascii="Times New Roman"/>
                        <w:spacing w:val="-2"/>
                        <w:sz w:val="20"/>
                      </w:rPr>
                      <w:t>Agreement</w:t>
                    </w:r>
                  </w:p>
                  <w:p>
                    <w:pPr>
                      <w:spacing w:before="0"/>
                      <w:ind w:left="22" w:right="20" w:firstLine="0"/>
                      <w:jc w:val="center"/>
                      <w:rPr>
                        <w:rFonts w:ascii="Times New Roman" w:hAnsi="Times New Roman"/>
                        <w:sz w:val="20"/>
                      </w:rPr>
                    </w:pPr>
                    <w:r>
                      <w:rPr>
                        <w:rFonts w:ascii="Times New Roman" w:hAnsi="Times New Roman"/>
                        <w:sz w:val="20"/>
                      </w:rPr>
                      <w:t>Replacement</w:t>
                    </w:r>
                    <w:r>
                      <w:rPr>
                        <w:rFonts w:ascii="Times New Roman" w:hAnsi="Times New Roman"/>
                        <w:spacing w:val="-3"/>
                        <w:sz w:val="20"/>
                      </w:rPr>
                      <w:t> </w:t>
                    </w:r>
                    <w:r>
                      <w:rPr>
                        <w:rFonts w:ascii="Times New Roman" w:hAnsi="Times New Roman"/>
                        <w:sz w:val="20"/>
                      </w:rPr>
                      <w:t>of</w:t>
                    </w:r>
                    <w:r>
                      <w:rPr>
                        <w:rFonts w:ascii="Times New Roman" w:hAnsi="Times New Roman"/>
                        <w:spacing w:val="-3"/>
                        <w:sz w:val="20"/>
                      </w:rPr>
                      <w:t> </w:t>
                    </w:r>
                    <w:r>
                      <w:rPr>
                        <w:rFonts w:ascii="Times New Roman" w:hAnsi="Times New Roman"/>
                        <w:sz w:val="20"/>
                      </w:rPr>
                      <w:t>Lake</w:t>
                    </w:r>
                    <w:r>
                      <w:rPr>
                        <w:rFonts w:ascii="Times New Roman" w:hAnsi="Times New Roman"/>
                        <w:spacing w:val="-3"/>
                        <w:sz w:val="20"/>
                      </w:rPr>
                      <w:t> </w:t>
                    </w:r>
                    <w:r>
                      <w:rPr>
                        <w:rFonts w:ascii="Times New Roman" w:hAnsi="Times New Roman"/>
                        <w:sz w:val="20"/>
                      </w:rPr>
                      <w:t>County</w:t>
                    </w:r>
                    <w:r>
                      <w:rPr>
                        <w:rFonts w:ascii="Times New Roman" w:hAnsi="Times New Roman"/>
                        <w:spacing w:val="-4"/>
                        <w:sz w:val="20"/>
                      </w:rPr>
                      <w:t> </w:t>
                    </w:r>
                    <w:r>
                      <w:rPr>
                        <w:rFonts w:ascii="Times New Roman" w:hAnsi="Times New Roman"/>
                        <w:sz w:val="20"/>
                      </w:rPr>
                      <w:t>Bridge</w:t>
                    </w:r>
                    <w:r>
                      <w:rPr>
                        <w:rFonts w:ascii="Times New Roman" w:hAnsi="Times New Roman"/>
                        <w:spacing w:val="-3"/>
                        <w:sz w:val="20"/>
                      </w:rPr>
                      <w:t> </w:t>
                    </w:r>
                    <w:r>
                      <w:rPr>
                        <w:rFonts w:ascii="Times New Roman" w:hAnsi="Times New Roman"/>
                        <w:sz w:val="20"/>
                      </w:rPr>
                      <w:t>No.</w:t>
                    </w:r>
                    <w:r>
                      <w:rPr>
                        <w:rFonts w:ascii="Times New Roman" w:hAnsi="Times New Roman"/>
                        <w:spacing w:val="-3"/>
                        <w:sz w:val="20"/>
                      </w:rPr>
                      <w:t> </w:t>
                    </w:r>
                    <w:r>
                      <w:rPr>
                        <w:rFonts w:ascii="Times New Roman" w:hAnsi="Times New Roman"/>
                        <w:sz w:val="20"/>
                      </w:rPr>
                      <w:t>2</w:t>
                    </w:r>
                    <w:r>
                      <w:rPr>
                        <w:rFonts w:ascii="Times New Roman" w:hAnsi="Times New Roman"/>
                        <w:spacing w:val="-3"/>
                        <w:sz w:val="20"/>
                      </w:rPr>
                      <w:t> </w:t>
                    </w:r>
                    <w:r>
                      <w:rPr>
                        <w:rFonts w:ascii="Times New Roman" w:hAnsi="Times New Roman"/>
                        <w:sz w:val="20"/>
                      </w:rPr>
                      <w:t>over</w:t>
                    </w:r>
                    <w:r>
                      <w:rPr>
                        <w:rFonts w:ascii="Times New Roman" w:hAnsi="Times New Roman"/>
                        <w:spacing w:val="-3"/>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Kankakee</w:t>
                    </w:r>
                    <w:r>
                      <w:rPr>
                        <w:rFonts w:ascii="Times New Roman" w:hAnsi="Times New Roman"/>
                        <w:spacing w:val="-3"/>
                        <w:sz w:val="20"/>
                      </w:rPr>
                      <w:t> </w:t>
                    </w:r>
                    <w:r>
                      <w:rPr>
                        <w:rFonts w:ascii="Times New Roman" w:hAnsi="Times New Roman"/>
                        <w:sz w:val="20"/>
                      </w:rPr>
                      <w:t>River,</w:t>
                    </w:r>
                    <w:r>
                      <w:rPr>
                        <w:rFonts w:ascii="Times New Roman" w:hAnsi="Times New Roman"/>
                        <w:spacing w:val="-3"/>
                        <w:sz w:val="20"/>
                      </w:rPr>
                      <w:t> </w:t>
                    </w:r>
                    <w:r>
                      <w:rPr>
                        <w:rFonts w:ascii="Times New Roman" w:hAnsi="Times New Roman"/>
                        <w:sz w:val="20"/>
                      </w:rPr>
                      <w:t>Des.</w:t>
                    </w:r>
                    <w:r>
                      <w:rPr>
                        <w:rFonts w:ascii="Times New Roman" w:hAnsi="Times New Roman"/>
                        <w:spacing w:val="-4"/>
                        <w:sz w:val="20"/>
                      </w:rPr>
                      <w:t> </w:t>
                    </w:r>
                    <w:r>
                      <w:rPr>
                        <w:rFonts w:ascii="Times New Roman" w:hAnsi="Times New Roman"/>
                        <w:sz w:val="20"/>
                      </w:rPr>
                      <w:t>No.</w:t>
                    </w:r>
                    <w:r>
                      <w:rPr>
                        <w:rFonts w:ascii="Times New Roman" w:hAnsi="Times New Roman"/>
                        <w:spacing w:val="-4"/>
                        <w:sz w:val="20"/>
                      </w:rPr>
                      <w:t> </w:t>
                    </w:r>
                    <w:r>
                      <w:rPr>
                        <w:rFonts w:ascii="Times New Roman" w:hAnsi="Times New Roman"/>
                        <w:sz w:val="20"/>
                      </w:rPr>
                      <w:t>9982620 Final Version – January 11, 2010</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60" w:hanging="360"/>
        <w:jc w:val="left"/>
      </w:pPr>
      <w:rPr>
        <w:rFonts w:hint="default" w:ascii="Verdana" w:hAnsi="Verdana" w:eastAsia="Verdana" w:cs="Verdana"/>
        <w:b w:val="0"/>
        <w:bCs w:val="0"/>
        <w:i w:val="0"/>
        <w:iCs w:val="0"/>
        <w:spacing w:val="-1"/>
        <w:w w:val="100"/>
        <w:sz w:val="18"/>
        <w:szCs w:val="18"/>
        <w:lang w:val="en-US" w:eastAsia="en-US" w:bidi="ar-SA"/>
      </w:rPr>
    </w:lvl>
    <w:lvl w:ilvl="1">
      <w:start w:val="0"/>
      <w:numFmt w:val="bullet"/>
      <w:lvlText w:val="•"/>
      <w:lvlJc w:val="left"/>
      <w:pPr>
        <w:ind w:left="2364" w:hanging="360"/>
      </w:pPr>
      <w:rPr>
        <w:rFonts w:hint="default"/>
        <w:lang w:val="en-US" w:eastAsia="en-US" w:bidi="ar-SA"/>
      </w:rPr>
    </w:lvl>
    <w:lvl w:ilvl="2">
      <w:start w:val="0"/>
      <w:numFmt w:val="bullet"/>
      <w:lvlText w:val="•"/>
      <w:lvlJc w:val="left"/>
      <w:pPr>
        <w:ind w:left="3168" w:hanging="360"/>
      </w:pPr>
      <w:rPr>
        <w:rFonts w:hint="default"/>
        <w:lang w:val="en-US" w:eastAsia="en-US" w:bidi="ar-SA"/>
      </w:rPr>
    </w:lvl>
    <w:lvl w:ilvl="3">
      <w:start w:val="0"/>
      <w:numFmt w:val="bullet"/>
      <w:lvlText w:val="•"/>
      <w:lvlJc w:val="left"/>
      <w:pPr>
        <w:ind w:left="397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384" w:hanging="360"/>
      </w:pPr>
      <w:rPr>
        <w:rFonts w:hint="default"/>
        <w:lang w:val="en-US" w:eastAsia="en-US" w:bidi="ar-SA"/>
      </w:rPr>
    </w:lvl>
    <w:lvl w:ilvl="7">
      <w:start w:val="0"/>
      <w:numFmt w:val="bullet"/>
      <w:lvlText w:val="•"/>
      <w:lvlJc w:val="left"/>
      <w:pPr>
        <w:ind w:left="7188" w:hanging="360"/>
      </w:pPr>
      <w:rPr>
        <w:rFonts w:hint="default"/>
        <w:lang w:val="en-US" w:eastAsia="en-US" w:bidi="ar-SA"/>
      </w:rPr>
    </w:lvl>
    <w:lvl w:ilvl="8">
      <w:start w:val="0"/>
      <w:numFmt w:val="bullet"/>
      <w:lvlText w:val="•"/>
      <w:lvlJc w:val="left"/>
      <w:pPr>
        <w:ind w:left="7992" w:hanging="360"/>
      </w:pPr>
      <w:rPr>
        <w:rFonts w:hint="default"/>
        <w:lang w:val="en-US" w:eastAsia="en-US" w:bidi="ar-SA"/>
      </w:rPr>
    </w:lvl>
  </w:abstractNum>
  <w:abstractNum w:abstractNumId="0">
    <w:multiLevelType w:val="hybridMultilevel"/>
    <w:lvl w:ilvl="0">
      <w:start w:val="1"/>
      <w:numFmt w:val="upperRoman"/>
      <w:lvlText w:val="%1."/>
      <w:lvlJc w:val="left"/>
      <w:pPr>
        <w:ind w:left="840" w:hanging="502"/>
        <w:jc w:val="right"/>
      </w:pPr>
      <w:rPr>
        <w:rFonts w:hint="default"/>
        <w:spacing w:val="-1"/>
        <w:w w:val="100"/>
        <w:lang w:val="en-US" w:eastAsia="en-US" w:bidi="ar-SA"/>
      </w:rPr>
    </w:lvl>
    <w:lvl w:ilvl="1">
      <w:start w:val="1"/>
      <w:numFmt w:val="upperLetter"/>
      <w:lvlText w:val="%2."/>
      <w:lvlJc w:val="left"/>
      <w:pPr>
        <w:ind w:left="1560" w:hanging="549"/>
        <w:jc w:val="left"/>
      </w:pPr>
      <w:rPr>
        <w:rFonts w:hint="default" w:ascii="Verdana" w:hAnsi="Verdana" w:eastAsia="Verdana" w:cs="Verdana"/>
        <w:b w:val="0"/>
        <w:bCs w:val="0"/>
        <w:i w:val="0"/>
        <w:iCs w:val="0"/>
        <w:spacing w:val="0"/>
        <w:w w:val="100"/>
        <w:sz w:val="18"/>
        <w:szCs w:val="18"/>
        <w:lang w:val="en-US" w:eastAsia="en-US" w:bidi="ar-SA"/>
      </w:rPr>
    </w:lvl>
    <w:lvl w:ilvl="2">
      <w:start w:val="1"/>
      <w:numFmt w:val="lowerRoman"/>
      <w:lvlText w:val="%3."/>
      <w:lvlJc w:val="left"/>
      <w:pPr>
        <w:ind w:left="2280" w:hanging="476"/>
        <w:jc w:val="right"/>
      </w:pPr>
      <w:rPr>
        <w:rFonts w:hint="default" w:ascii="Verdana" w:hAnsi="Verdana" w:eastAsia="Verdana" w:cs="Verdana"/>
        <w:b w:val="0"/>
        <w:bCs w:val="0"/>
        <w:i w:val="0"/>
        <w:iCs w:val="0"/>
        <w:spacing w:val="0"/>
        <w:w w:val="100"/>
        <w:sz w:val="18"/>
        <w:szCs w:val="18"/>
        <w:lang w:val="en-US" w:eastAsia="en-US" w:bidi="ar-SA"/>
      </w:rPr>
    </w:lvl>
    <w:lvl w:ilvl="3">
      <w:start w:val="0"/>
      <w:numFmt w:val="bullet"/>
      <w:lvlText w:val="•"/>
      <w:lvlJc w:val="left"/>
      <w:pPr>
        <w:ind w:left="3195" w:hanging="476"/>
      </w:pPr>
      <w:rPr>
        <w:rFonts w:hint="default"/>
        <w:lang w:val="en-US" w:eastAsia="en-US" w:bidi="ar-SA"/>
      </w:rPr>
    </w:lvl>
    <w:lvl w:ilvl="4">
      <w:start w:val="0"/>
      <w:numFmt w:val="bullet"/>
      <w:lvlText w:val="•"/>
      <w:lvlJc w:val="left"/>
      <w:pPr>
        <w:ind w:left="4110" w:hanging="476"/>
      </w:pPr>
      <w:rPr>
        <w:rFonts w:hint="default"/>
        <w:lang w:val="en-US" w:eastAsia="en-US" w:bidi="ar-SA"/>
      </w:rPr>
    </w:lvl>
    <w:lvl w:ilvl="5">
      <w:start w:val="0"/>
      <w:numFmt w:val="bullet"/>
      <w:lvlText w:val="•"/>
      <w:lvlJc w:val="left"/>
      <w:pPr>
        <w:ind w:left="5025" w:hanging="476"/>
      </w:pPr>
      <w:rPr>
        <w:rFonts w:hint="default"/>
        <w:lang w:val="en-US" w:eastAsia="en-US" w:bidi="ar-SA"/>
      </w:rPr>
    </w:lvl>
    <w:lvl w:ilvl="6">
      <w:start w:val="0"/>
      <w:numFmt w:val="bullet"/>
      <w:lvlText w:val="•"/>
      <w:lvlJc w:val="left"/>
      <w:pPr>
        <w:ind w:left="5940" w:hanging="476"/>
      </w:pPr>
      <w:rPr>
        <w:rFonts w:hint="default"/>
        <w:lang w:val="en-US" w:eastAsia="en-US" w:bidi="ar-SA"/>
      </w:rPr>
    </w:lvl>
    <w:lvl w:ilvl="7">
      <w:start w:val="0"/>
      <w:numFmt w:val="bullet"/>
      <w:lvlText w:val="•"/>
      <w:lvlJc w:val="left"/>
      <w:pPr>
        <w:ind w:left="6855" w:hanging="476"/>
      </w:pPr>
      <w:rPr>
        <w:rFonts w:hint="default"/>
        <w:lang w:val="en-US" w:eastAsia="en-US" w:bidi="ar-SA"/>
      </w:rPr>
    </w:lvl>
    <w:lvl w:ilvl="8">
      <w:start w:val="0"/>
      <w:numFmt w:val="bullet"/>
      <w:lvlText w:val="•"/>
      <w:lvlJc w:val="left"/>
      <w:pPr>
        <w:ind w:left="7770" w:hanging="47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18"/>
      <w:szCs w:val="18"/>
      <w:lang w:val="en-US" w:eastAsia="en-US" w:bidi="ar-SA"/>
    </w:rPr>
  </w:style>
  <w:style w:styleId="Heading1" w:type="paragraph">
    <w:name w:val="Heading 1"/>
    <w:basedOn w:val="Normal"/>
    <w:uiPriority w:val="1"/>
    <w:qFormat/>
    <w:pPr>
      <w:ind w:left="840"/>
      <w:outlineLvl w:val="1"/>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ind w:left="1560" w:right="117" w:hanging="549"/>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footer" Target="footer4.xml"/><Relationship Id="rId11" Type="http://schemas.openxmlformats.org/officeDocument/2006/relationships/image" Target="media/image3.png"/><Relationship Id="rId12" Type="http://schemas.openxmlformats.org/officeDocument/2006/relationships/footer" Target="footer5.xml"/><Relationship Id="rId13" Type="http://schemas.openxmlformats.org/officeDocument/2006/relationships/image" Target="media/image4.png"/><Relationship Id="rId14" Type="http://schemas.openxmlformats.org/officeDocument/2006/relationships/footer" Target="footer6.xml"/><Relationship Id="rId15" Type="http://schemas.openxmlformats.org/officeDocument/2006/relationships/image" Target="media/image5.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twieseke</dc:creator>
  <dc:title>Microsoft Word - Lake 2 MOA - Final.doc</dc:title>
  <dcterms:created xsi:type="dcterms:W3CDTF">2023-09-16T13:15:25Z</dcterms:created>
  <dcterms:modified xsi:type="dcterms:W3CDTF">2023-09-16T13:15:25Z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2010-01-11T00:00:00Z</vt:filetime>
  </property>
  <property fmtid="{D5CDD505-2E9C-101B-9397-08002B2CF9AE}" pid="3" name="Creator">
    <vt:lpwstr>PScript5.dll Version 5.2.2</vt:lpwstr>
  </property>
  <property fmtid="{D5CDD505-2E9C-101B-9397-08002B2CF9AE}" pid="4" name="LastSaved">
    <vt:filetime>2023-09-16T00:00:00Z</vt:filetime>
  </property>
  <property fmtid="{D5CDD505-2E9C-101B-9397-08002B2CF9AE}" pid="5" name="Producer">
    <vt:lpwstr>Acrobat Distiller 6.0 (Windows)</vt:lpwstr>
  </property>
</Properties>
</file>